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3FAA42" w14:textId="7504338D" w:rsidR="004C7169" w:rsidRPr="004C7169" w:rsidRDefault="004C7169" w:rsidP="004C7169">
      <w:pPr>
        <w:pStyle w:val="NormalWeb"/>
        <w:jc w:val="center"/>
      </w:pPr>
      <w:r w:rsidRPr="004C7169">
        <w:rPr>
          <w:noProof/>
        </w:rPr>
        <w:drawing>
          <wp:inline distT="0" distB="0" distL="0" distR="0" wp14:anchorId="54144FA1" wp14:editId="1C42CB20">
            <wp:extent cx="1666875" cy="2135328"/>
            <wp:effectExtent l="0" t="0" r="0" b="0"/>
            <wp:docPr id="1817724949"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687523" cy="2161779"/>
                    </a:xfrm>
                    <a:prstGeom prst="rect">
                      <a:avLst/>
                    </a:prstGeom>
                    <a:noFill/>
                    <a:ln>
                      <a:noFill/>
                    </a:ln>
                  </pic:spPr>
                </pic:pic>
              </a:graphicData>
            </a:graphic>
          </wp:inline>
        </w:drawing>
      </w:r>
    </w:p>
    <w:p w14:paraId="626CC863" w14:textId="1AA28B6A" w:rsidR="004C7169" w:rsidRDefault="004C7169" w:rsidP="004C7169">
      <w:pPr>
        <w:pStyle w:val="NormalWeb"/>
        <w:jc w:val="center"/>
      </w:pPr>
    </w:p>
    <w:p w14:paraId="0FB29F8C" w14:textId="2C867517" w:rsidR="00A81823" w:rsidRPr="00A81823" w:rsidRDefault="00A81823" w:rsidP="00A81823">
      <w:pPr>
        <w:spacing w:before="200" w:after="60"/>
        <w:jc w:val="center"/>
        <w:rPr>
          <w:b/>
          <w:bCs/>
          <w:color w:val="1F4E79"/>
          <w:sz w:val="32"/>
          <w:szCs w:val="32"/>
        </w:rPr>
      </w:pPr>
    </w:p>
    <w:p w14:paraId="69A9B814" w14:textId="77777777" w:rsidR="00F53D91" w:rsidRDefault="00101582">
      <w:pPr>
        <w:spacing w:before="200" w:after="60"/>
        <w:jc w:val="center"/>
      </w:pPr>
      <w:r>
        <w:rPr>
          <w:b/>
          <w:bCs/>
          <w:color w:val="1F4E79"/>
          <w:sz w:val="32"/>
          <w:szCs w:val="32"/>
        </w:rPr>
        <w:t>VILLE D’OSTWALD</w:t>
      </w:r>
    </w:p>
    <w:p w14:paraId="2F07D8E5" w14:textId="77777777" w:rsidR="00F53D91" w:rsidRDefault="00101582">
      <w:pPr>
        <w:spacing w:after="40"/>
        <w:jc w:val="center"/>
      </w:pPr>
      <w:r>
        <w:rPr>
          <w:color w:val="808080"/>
          <w:sz w:val="20"/>
          <w:szCs w:val="20"/>
        </w:rPr>
        <w:t>3, rue Albert Gerig – CS 60010 – 67540 OSTWALD</w:t>
      </w:r>
    </w:p>
    <w:p w14:paraId="5B1885CF" w14:textId="77777777" w:rsidR="00F53D91" w:rsidRDefault="00101582">
      <w:pPr>
        <w:pBdr>
          <w:bottom w:val="single" w:sz="12" w:space="6" w:color="2E75B6"/>
        </w:pBdr>
        <w:spacing w:after="480"/>
        <w:jc w:val="center"/>
      </w:pPr>
      <w:r>
        <w:rPr>
          <w:i/>
          <w:iCs/>
          <w:color w:val="808080"/>
          <w:sz w:val="18"/>
          <w:szCs w:val="18"/>
        </w:rPr>
        <w:t>Autorité délégante</w:t>
      </w:r>
    </w:p>
    <w:p w14:paraId="56D22E04" w14:textId="77777777" w:rsidR="00F53D91" w:rsidRDefault="00101582">
      <w:pPr>
        <w:spacing w:before="240" w:after="120"/>
        <w:jc w:val="center"/>
      </w:pPr>
      <w:r>
        <w:rPr>
          <w:b/>
          <w:bCs/>
          <w:color w:val="1F4E79"/>
          <w:sz w:val="26"/>
          <w:szCs w:val="26"/>
        </w:rPr>
        <w:t>CONCESSION DE SERVICE PUBLIC</w:t>
      </w:r>
    </w:p>
    <w:p w14:paraId="583C24CC" w14:textId="77777777" w:rsidR="00F53D91" w:rsidRDefault="00101582">
      <w:pPr>
        <w:spacing w:after="360"/>
        <w:jc w:val="center"/>
      </w:pPr>
      <w:r>
        <w:rPr>
          <w:i/>
          <w:iCs/>
        </w:rPr>
        <w:t>(Délégation de service public – affermage)</w:t>
      </w:r>
    </w:p>
    <w:p w14:paraId="165C7BAE" w14:textId="77777777" w:rsidR="00F53D91" w:rsidRDefault="00101582">
      <w:pPr>
        <w:spacing w:after="120"/>
        <w:jc w:val="center"/>
      </w:pPr>
      <w:r>
        <w:rPr>
          <w:sz w:val="24"/>
          <w:szCs w:val="24"/>
        </w:rPr>
        <w:t>Gestion et exploitation du multi-accueil</w:t>
      </w:r>
    </w:p>
    <w:p w14:paraId="75018651" w14:textId="77777777" w:rsidR="00F53D91" w:rsidRDefault="00101582">
      <w:pPr>
        <w:spacing w:after="480"/>
        <w:jc w:val="center"/>
      </w:pPr>
      <w:r>
        <w:rPr>
          <w:b/>
          <w:bCs/>
          <w:color w:val="1F4E79"/>
          <w:sz w:val="28"/>
          <w:szCs w:val="28"/>
        </w:rPr>
        <w:t>« Les Rives du Bohrie » à Ostwald</w:t>
      </w:r>
    </w:p>
    <w:p w14:paraId="568AD5E6" w14:textId="77777777" w:rsidR="00F53D91" w:rsidRDefault="00101582">
      <w:pPr>
        <w:shd w:val="clear" w:color="auto" w:fill="D6E4F0"/>
        <w:spacing w:after="120"/>
        <w:jc w:val="center"/>
      </w:pPr>
      <w:r>
        <w:rPr>
          <w:b/>
          <w:bCs/>
          <w:color w:val="1F4E79"/>
          <w:sz w:val="30"/>
          <w:szCs w:val="30"/>
        </w:rPr>
        <w:t>RÈGLEMENT DE LA CONSULTATION</w:t>
      </w:r>
    </w:p>
    <w:p w14:paraId="273CB7CA" w14:textId="77777777" w:rsidR="00F53D91" w:rsidRDefault="00101582">
      <w:pPr>
        <w:spacing w:after="480"/>
        <w:jc w:val="center"/>
      </w:pPr>
      <w:r>
        <w:rPr>
          <w:b/>
          <w:bCs/>
          <w:sz w:val="24"/>
          <w:szCs w:val="24"/>
        </w:rPr>
        <w:t>PHASE 1 – CANDIDATURES</w:t>
      </w:r>
    </w:p>
    <w:p w14:paraId="5F63950D" w14:textId="77777777" w:rsidR="00F53D91" w:rsidRDefault="00101582">
      <w:pPr>
        <w:spacing w:after="60"/>
        <w:jc w:val="center"/>
      </w:pPr>
      <w:r>
        <w:t>Date et heure limites de réception des candidatures</w:t>
      </w:r>
    </w:p>
    <w:p w14:paraId="0A59F74E" w14:textId="77777777" w:rsidR="00F53D91" w:rsidRDefault="00101582">
      <w:pPr>
        <w:spacing w:after="480"/>
        <w:jc w:val="center"/>
      </w:pPr>
      <w:r>
        <w:rPr>
          <w:b/>
          <w:bCs/>
          <w:color w:val="1F4E79"/>
          <w:sz w:val="26"/>
          <w:szCs w:val="26"/>
        </w:rPr>
        <w:t>Lundi 6 juillet 2026 – 12h00</w:t>
      </w:r>
    </w:p>
    <w:p w14:paraId="38712E2C" w14:textId="77777777" w:rsidR="00F53D91" w:rsidRDefault="00101582">
      <w:pPr>
        <w:spacing w:before="240" w:after="60" w:line="264" w:lineRule="auto"/>
        <w:jc w:val="center"/>
      </w:pPr>
      <w:r>
        <w:rPr>
          <w:i/>
          <w:iCs/>
          <w:color w:val="808080"/>
          <w:sz w:val="18"/>
          <w:szCs w:val="18"/>
        </w:rPr>
        <w:t>Concession de service public passée conformément aux articles L1411-1 et suivants et R1411-1 et suivants du Code général des collectivités territoriales (CGCT), ainsi qu’aux articles L3120-1 et suivants et R3120-1 et suivants du Code de la commande publique (CCP).</w:t>
      </w:r>
    </w:p>
    <w:p w14:paraId="690528B8" w14:textId="77777777" w:rsidR="00F53D91" w:rsidRDefault="00101582">
      <w:r>
        <w:br w:type="page"/>
      </w:r>
    </w:p>
    <w:p w14:paraId="05F819C7" w14:textId="77777777" w:rsidR="00F53D91" w:rsidRDefault="00101582">
      <w:pPr>
        <w:pBdr>
          <w:bottom w:val="single" w:sz="6" w:space="4" w:color="2E75B6"/>
        </w:pBdr>
        <w:spacing w:after="240"/>
      </w:pPr>
      <w:r>
        <w:rPr>
          <w:b/>
          <w:bCs/>
          <w:color w:val="1F4E79"/>
          <w:sz w:val="28"/>
          <w:szCs w:val="28"/>
        </w:rPr>
        <w:lastRenderedPageBreak/>
        <w:t>SOMMAIRE</w:t>
      </w:r>
    </w:p>
    <w:p w14:paraId="1A018F3B" w14:textId="77777777" w:rsidR="00F53D91" w:rsidRDefault="00101582">
      <w:pPr>
        <w:tabs>
          <w:tab w:val="right" w:leader="dot" w:pos="9200"/>
        </w:tabs>
        <w:spacing w:after="100" w:line="276" w:lineRule="auto"/>
      </w:pPr>
      <w:r>
        <w:t>Article 1 – Objet de la consultation</w:t>
      </w:r>
      <w:r>
        <w:tab/>
        <w:t>3</w:t>
      </w:r>
    </w:p>
    <w:p w14:paraId="48E09D27" w14:textId="77777777" w:rsidR="00F53D91" w:rsidRDefault="00101582">
      <w:pPr>
        <w:tabs>
          <w:tab w:val="right" w:leader="dot" w:pos="9200"/>
        </w:tabs>
        <w:spacing w:after="100" w:line="276" w:lineRule="auto"/>
      </w:pPr>
      <w:r>
        <w:t>Article 2 – Autorité délégante</w:t>
      </w:r>
      <w:r>
        <w:tab/>
        <w:t>3</w:t>
      </w:r>
    </w:p>
    <w:p w14:paraId="6BF9CF63" w14:textId="77777777" w:rsidR="00F53D91" w:rsidRDefault="00101582">
      <w:pPr>
        <w:tabs>
          <w:tab w:val="right" w:leader="dot" w:pos="9200"/>
        </w:tabs>
        <w:spacing w:after="100" w:line="276" w:lineRule="auto"/>
      </w:pPr>
      <w:r>
        <w:t>Article 3 – Description du service public délégué</w:t>
      </w:r>
      <w:r>
        <w:tab/>
        <w:t>3</w:t>
      </w:r>
    </w:p>
    <w:p w14:paraId="6995EA38" w14:textId="77777777" w:rsidR="00F53D91" w:rsidRDefault="00101582">
      <w:pPr>
        <w:tabs>
          <w:tab w:val="right" w:leader="dot" w:pos="9200"/>
        </w:tabs>
        <w:spacing w:after="100" w:line="276" w:lineRule="auto"/>
      </w:pPr>
      <w:r>
        <w:t>Article 4 – Caractéristiques et déroulement de la procédure</w:t>
      </w:r>
      <w:r>
        <w:tab/>
        <w:t>4</w:t>
      </w:r>
    </w:p>
    <w:p w14:paraId="37475DDB" w14:textId="77777777" w:rsidR="00F53D91" w:rsidRDefault="00101582">
      <w:pPr>
        <w:tabs>
          <w:tab w:val="right" w:leader="dot" w:pos="9200"/>
        </w:tabs>
        <w:spacing w:after="100" w:line="276" w:lineRule="auto"/>
      </w:pPr>
      <w:r>
        <w:t>Article 5 – Publicité</w:t>
      </w:r>
      <w:r>
        <w:tab/>
        <w:t>4</w:t>
      </w:r>
    </w:p>
    <w:p w14:paraId="47E86988" w14:textId="77777777" w:rsidR="00F53D91" w:rsidRDefault="00101582">
      <w:pPr>
        <w:tabs>
          <w:tab w:val="right" w:leader="dot" w:pos="9200"/>
        </w:tabs>
        <w:spacing w:after="100" w:line="276" w:lineRule="auto"/>
      </w:pPr>
      <w:r>
        <w:t>Article 6 – Retrait du dossier</w:t>
      </w:r>
      <w:r>
        <w:tab/>
        <w:t>5</w:t>
      </w:r>
    </w:p>
    <w:p w14:paraId="3A25717B" w14:textId="77777777" w:rsidR="00F53D91" w:rsidRDefault="00101582">
      <w:pPr>
        <w:tabs>
          <w:tab w:val="right" w:leader="dot" w:pos="9200"/>
        </w:tabs>
        <w:spacing w:after="100" w:line="276" w:lineRule="auto"/>
      </w:pPr>
      <w:r>
        <w:t>Article 7 – Composition du dossier de candidature</w:t>
      </w:r>
      <w:r>
        <w:tab/>
        <w:t>5</w:t>
      </w:r>
    </w:p>
    <w:p w14:paraId="497F44D0" w14:textId="77777777" w:rsidR="00F53D91" w:rsidRDefault="00101582">
      <w:pPr>
        <w:tabs>
          <w:tab w:val="right" w:leader="dot" w:pos="9200"/>
        </w:tabs>
        <w:spacing w:after="100" w:line="276" w:lineRule="auto"/>
      </w:pPr>
      <w:r>
        <w:t>Article 8 – Groupements</w:t>
      </w:r>
      <w:r>
        <w:tab/>
        <w:t>6</w:t>
      </w:r>
    </w:p>
    <w:p w14:paraId="327FC431" w14:textId="77777777" w:rsidR="00F53D91" w:rsidRDefault="00101582">
      <w:pPr>
        <w:tabs>
          <w:tab w:val="right" w:leader="dot" w:pos="9200"/>
        </w:tabs>
        <w:spacing w:after="100" w:line="276" w:lineRule="auto"/>
      </w:pPr>
      <w:r>
        <w:t>Article 9 – Critères de sélection des candidatures</w:t>
      </w:r>
      <w:r>
        <w:tab/>
        <w:t>6</w:t>
      </w:r>
    </w:p>
    <w:p w14:paraId="6A966377" w14:textId="77777777" w:rsidR="00F53D91" w:rsidRDefault="00101582">
      <w:pPr>
        <w:tabs>
          <w:tab w:val="right" w:leader="dot" w:pos="9200"/>
        </w:tabs>
        <w:spacing w:after="100" w:line="276" w:lineRule="auto"/>
      </w:pPr>
      <w:r>
        <w:t>Article 10 – Nombre de candidats admis</w:t>
      </w:r>
      <w:r>
        <w:tab/>
        <w:t>7</w:t>
      </w:r>
    </w:p>
    <w:p w14:paraId="2672BA01" w14:textId="77777777" w:rsidR="00F53D91" w:rsidRDefault="00101582">
      <w:pPr>
        <w:tabs>
          <w:tab w:val="right" w:leader="dot" w:pos="9200"/>
        </w:tabs>
        <w:spacing w:after="100" w:line="276" w:lineRule="auto"/>
      </w:pPr>
      <w:r>
        <w:t>Article 11 – Modalités de remise des candidatures</w:t>
      </w:r>
      <w:r>
        <w:tab/>
        <w:t>7</w:t>
      </w:r>
    </w:p>
    <w:p w14:paraId="1A566FD0" w14:textId="77777777" w:rsidR="00F53D91" w:rsidRDefault="00101582">
      <w:pPr>
        <w:tabs>
          <w:tab w:val="right" w:leader="dot" w:pos="9200"/>
        </w:tabs>
        <w:spacing w:after="100" w:line="276" w:lineRule="auto"/>
      </w:pPr>
      <w:r>
        <w:t>Article 12 – Questions et renseignements complémentaires</w:t>
      </w:r>
      <w:r>
        <w:tab/>
        <w:t>7</w:t>
      </w:r>
    </w:p>
    <w:p w14:paraId="010C41ED" w14:textId="77777777" w:rsidR="00F53D91" w:rsidRDefault="00101582">
      <w:pPr>
        <w:tabs>
          <w:tab w:val="right" w:leader="dot" w:pos="9200"/>
        </w:tabs>
        <w:spacing w:after="100" w:line="276" w:lineRule="auto"/>
      </w:pPr>
      <w:r>
        <w:t>Article 13 – Calendrier prévisionnel de la phase 1</w:t>
      </w:r>
      <w:r>
        <w:tab/>
        <w:t>7</w:t>
      </w:r>
    </w:p>
    <w:p w14:paraId="4E49DFE3" w14:textId="77777777" w:rsidR="00F53D91" w:rsidRDefault="00101582">
      <w:pPr>
        <w:tabs>
          <w:tab w:val="right" w:leader="dot" w:pos="9200"/>
        </w:tabs>
        <w:spacing w:after="100" w:line="276" w:lineRule="auto"/>
      </w:pPr>
      <w:r>
        <w:t>Article 14 – Confidentialité et protection des données personnelles</w:t>
      </w:r>
      <w:r>
        <w:tab/>
        <w:t>8</w:t>
      </w:r>
    </w:p>
    <w:p w14:paraId="031EE98D" w14:textId="77777777" w:rsidR="00F53D91" w:rsidRDefault="00101582">
      <w:pPr>
        <w:tabs>
          <w:tab w:val="right" w:leader="dot" w:pos="9200"/>
        </w:tabs>
        <w:spacing w:after="100" w:line="276" w:lineRule="auto"/>
      </w:pPr>
      <w:r>
        <w:t>Article 15 – Instance chargée des procédures de recours</w:t>
      </w:r>
      <w:r>
        <w:tab/>
        <w:t>8</w:t>
      </w:r>
    </w:p>
    <w:p w14:paraId="53F27C3F" w14:textId="77777777" w:rsidR="00F53D91" w:rsidRDefault="00101582">
      <w:pPr>
        <w:tabs>
          <w:tab w:val="right" w:leader="dot" w:pos="9200"/>
        </w:tabs>
        <w:spacing w:after="100" w:line="276" w:lineRule="auto"/>
      </w:pPr>
      <w:r>
        <w:t>Article 16 – Engagement du candidat</w:t>
      </w:r>
      <w:r>
        <w:tab/>
        <w:t>8</w:t>
      </w:r>
    </w:p>
    <w:p w14:paraId="1895554F" w14:textId="77777777" w:rsidR="00F53D91" w:rsidRDefault="00101582">
      <w:r>
        <w:br w:type="page"/>
      </w:r>
    </w:p>
    <w:p w14:paraId="33F668B4" w14:textId="77777777" w:rsidR="00F53D91" w:rsidRDefault="00101582">
      <w:pPr>
        <w:spacing w:after="60"/>
        <w:jc w:val="center"/>
      </w:pPr>
      <w:r>
        <w:rPr>
          <w:b/>
          <w:bCs/>
          <w:color w:val="1F4E79"/>
        </w:rPr>
        <w:lastRenderedPageBreak/>
        <w:t>Gestion et exploitation du multi-accueil « Les Rives du Bohrie » à Ostwald</w:t>
      </w:r>
    </w:p>
    <w:p w14:paraId="0F1B934A" w14:textId="77777777" w:rsidR="00F53D91" w:rsidRDefault="00101582">
      <w:pPr>
        <w:pBdr>
          <w:bottom w:val="single" w:sz="6" w:space="4" w:color="2E75B6"/>
        </w:pBdr>
        <w:spacing w:after="240"/>
        <w:jc w:val="center"/>
      </w:pPr>
      <w:r>
        <w:rPr>
          <w:i/>
          <w:iCs/>
          <w:color w:val="808080"/>
          <w:sz w:val="18"/>
          <w:szCs w:val="18"/>
        </w:rPr>
        <w:t>Règlement de consultation – Phase 1 (candidatures) en vue de l’attribution de la convention de délégation de service public</w:t>
      </w:r>
    </w:p>
    <w:p w14:paraId="2FEE45D1" w14:textId="77777777" w:rsidR="00F53D91" w:rsidRDefault="00101582">
      <w:pPr>
        <w:pStyle w:val="Titre1"/>
      </w:pPr>
      <w:r>
        <w:t>Article 1 – Objet de la consultation</w:t>
      </w:r>
    </w:p>
    <w:p w14:paraId="62F924C9" w14:textId="77777777" w:rsidR="00F53D91" w:rsidRDefault="00101582">
      <w:pPr>
        <w:spacing w:after="120" w:line="276" w:lineRule="auto"/>
        <w:jc w:val="both"/>
      </w:pPr>
      <w:r>
        <w:t>La présente consultation est organisée en vue de l’attribution d’une concession de service public pour la gestion et l’exploitation du multi-accueil « Les Rives du Bohrie », situé 2 allée du Foehn à Ostwald.</w:t>
      </w:r>
    </w:p>
    <w:p w14:paraId="0B052643" w14:textId="77777777" w:rsidR="00F53D91" w:rsidRDefault="00101582">
      <w:pPr>
        <w:spacing w:after="120" w:line="276" w:lineRule="auto"/>
        <w:jc w:val="both"/>
      </w:pPr>
      <w:r>
        <w:t>Par délibération en date du 29 avril 2026, le Conseil municipal de la Ville d’Ostwald a approuvé le principe du recours à une délégation de service public pour la gestion et l’exploitation de cet établissement.</w:t>
      </w:r>
    </w:p>
    <w:p w14:paraId="5F9999C0" w14:textId="77777777" w:rsidR="00F53D91" w:rsidRDefault="00101582">
      <w:pPr>
        <w:spacing w:after="120" w:line="276" w:lineRule="auto"/>
        <w:jc w:val="both"/>
      </w:pPr>
      <w:r>
        <w:t>Le présent règlement a pour objet de définir les conditions de participation à la première phase d’une procédure restreinte, destinée à sélectionner les opérateurs économiques admis à présenter une offre. Le service sera exploité par le délégataire à ses risques et périls, sous la forme d’un affermage.</w:t>
      </w:r>
    </w:p>
    <w:p w14:paraId="22AC4A8C" w14:textId="77777777" w:rsidR="00F53D91" w:rsidRDefault="00101582">
      <w:pPr>
        <w:spacing w:after="120" w:line="276" w:lineRule="auto"/>
        <w:jc w:val="both"/>
      </w:pPr>
      <w:r>
        <w:t>La concession prendra effet le 1er janvier 2027 et s’achèvera le 31 août 2031, soit une durée de quatre ans et huit mois, justifiée par la nature du service et le niveau limité des investissements mis à la charge du délégataire.</w:t>
      </w:r>
    </w:p>
    <w:p w14:paraId="46B490A2" w14:textId="77777777" w:rsidR="00F53D91" w:rsidRDefault="00101582">
      <w:pPr>
        <w:spacing w:after="240" w:line="276" w:lineRule="auto"/>
        <w:jc w:val="both"/>
      </w:pPr>
      <w:r>
        <w:t>Seuls les candidats sélectionnés à l’issue de la présente phase seront invités à participer à la seconde phase et à remettre une offre.</w:t>
      </w:r>
    </w:p>
    <w:p w14:paraId="181D8466" w14:textId="77777777" w:rsidR="00F53D91" w:rsidRDefault="00101582">
      <w:pPr>
        <w:pStyle w:val="Titre1"/>
      </w:pPr>
      <w:r>
        <w:t>Article 2 – Autorité délégante</w:t>
      </w:r>
    </w:p>
    <w:p w14:paraId="3F6D05F6" w14:textId="77777777" w:rsidR="00F53D91" w:rsidRDefault="00101582">
      <w:pPr>
        <w:pStyle w:val="Titre2"/>
      </w:pPr>
      <w:r>
        <w:t>2.1 – Coordonnées et rôles au sein de l’autorité délégante</w:t>
      </w:r>
    </w:p>
    <w:p w14:paraId="548A7E17" w14:textId="77777777" w:rsidR="00F53D91" w:rsidRDefault="00101582">
      <w:pPr>
        <w:spacing w:after="120" w:line="276" w:lineRule="auto"/>
        <w:jc w:val="both"/>
      </w:pPr>
      <w:r>
        <w:t>Les rôles au sein de l’autorité délégante sont fixés comme suit :</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3000"/>
        <w:gridCol w:w="6360"/>
      </w:tblGrid>
      <w:tr w:rsidR="00F53D91" w14:paraId="39BC0143" w14:textId="77777777">
        <w:tc>
          <w:tcPr>
            <w:tcW w:w="3000" w:type="dxa"/>
            <w:tcBorders>
              <w:top w:val="single" w:sz="4" w:space="0" w:color="B7C6D9"/>
              <w:left w:val="single" w:sz="4" w:space="0" w:color="B7C6D9"/>
              <w:bottom w:val="single" w:sz="4" w:space="0" w:color="B7C6D9"/>
              <w:right w:val="single" w:sz="4" w:space="0" w:color="B7C6D9"/>
            </w:tcBorders>
            <w:shd w:val="clear" w:color="auto" w:fill="D6E4F0"/>
            <w:tcMar>
              <w:top w:w="80" w:type="dxa"/>
              <w:left w:w="120" w:type="dxa"/>
              <w:bottom w:w="80" w:type="dxa"/>
              <w:right w:w="120" w:type="dxa"/>
            </w:tcMar>
          </w:tcPr>
          <w:p w14:paraId="60141C62" w14:textId="77777777" w:rsidR="00F53D91" w:rsidRDefault="00101582">
            <w:r>
              <w:rPr>
                <w:b/>
                <w:bCs/>
              </w:rPr>
              <w:t>Autorité délégante</w:t>
            </w:r>
          </w:p>
        </w:tc>
        <w:tc>
          <w:tcPr>
            <w:tcW w:w="6360" w:type="dxa"/>
            <w:tcBorders>
              <w:top w:val="single" w:sz="4" w:space="0" w:color="B7C6D9"/>
              <w:left w:val="single" w:sz="4" w:space="0" w:color="B7C6D9"/>
              <w:bottom w:val="single" w:sz="4" w:space="0" w:color="B7C6D9"/>
              <w:right w:val="single" w:sz="4" w:space="0" w:color="B7C6D9"/>
            </w:tcBorders>
            <w:tcMar>
              <w:top w:w="80" w:type="dxa"/>
              <w:left w:w="120" w:type="dxa"/>
              <w:bottom w:w="80" w:type="dxa"/>
              <w:right w:w="120" w:type="dxa"/>
            </w:tcMar>
          </w:tcPr>
          <w:p w14:paraId="7E91C83E" w14:textId="77777777" w:rsidR="00F53D91" w:rsidRDefault="00101582">
            <w:r>
              <w:t>Ville d’Ostwald – 3, rue Albert Gerig – CS 60010 – 67540 OSTWALD</w:t>
            </w:r>
          </w:p>
        </w:tc>
      </w:tr>
      <w:tr w:rsidR="00F53D91" w14:paraId="01E37A77" w14:textId="77777777">
        <w:tc>
          <w:tcPr>
            <w:tcW w:w="3000" w:type="dxa"/>
            <w:tcBorders>
              <w:top w:val="single" w:sz="4" w:space="0" w:color="B7C6D9"/>
              <w:left w:val="single" w:sz="4" w:space="0" w:color="B7C6D9"/>
              <w:bottom w:val="single" w:sz="4" w:space="0" w:color="B7C6D9"/>
              <w:right w:val="single" w:sz="4" w:space="0" w:color="B7C6D9"/>
            </w:tcBorders>
            <w:shd w:val="clear" w:color="auto" w:fill="D6E4F0"/>
            <w:tcMar>
              <w:top w:w="80" w:type="dxa"/>
              <w:left w:w="120" w:type="dxa"/>
              <w:bottom w:w="80" w:type="dxa"/>
              <w:right w:w="120" w:type="dxa"/>
            </w:tcMar>
          </w:tcPr>
          <w:p w14:paraId="7C894239" w14:textId="77777777" w:rsidR="00F53D91" w:rsidRDefault="00101582">
            <w:r>
              <w:rPr>
                <w:b/>
                <w:bCs/>
              </w:rPr>
              <w:t>Représentant légal</w:t>
            </w:r>
          </w:p>
        </w:tc>
        <w:tc>
          <w:tcPr>
            <w:tcW w:w="6360" w:type="dxa"/>
            <w:tcBorders>
              <w:top w:val="single" w:sz="4" w:space="0" w:color="B7C6D9"/>
              <w:left w:val="single" w:sz="4" w:space="0" w:color="B7C6D9"/>
              <w:bottom w:val="single" w:sz="4" w:space="0" w:color="B7C6D9"/>
              <w:right w:val="single" w:sz="4" w:space="0" w:color="B7C6D9"/>
            </w:tcBorders>
            <w:tcMar>
              <w:top w:w="80" w:type="dxa"/>
              <w:left w:w="120" w:type="dxa"/>
              <w:bottom w:w="80" w:type="dxa"/>
              <w:right w:w="120" w:type="dxa"/>
            </w:tcMar>
          </w:tcPr>
          <w:p w14:paraId="38BE9193" w14:textId="77777777" w:rsidR="00F53D91" w:rsidRDefault="00101582">
            <w:r>
              <w:t>Monsieur le Maire d’Ostwald, habilité à signer la convention</w:t>
            </w:r>
          </w:p>
        </w:tc>
      </w:tr>
      <w:tr w:rsidR="00F53D91" w14:paraId="6526D448" w14:textId="77777777">
        <w:tc>
          <w:tcPr>
            <w:tcW w:w="3000" w:type="dxa"/>
            <w:tcBorders>
              <w:top w:val="single" w:sz="4" w:space="0" w:color="B7C6D9"/>
              <w:left w:val="single" w:sz="4" w:space="0" w:color="B7C6D9"/>
              <w:bottom w:val="single" w:sz="4" w:space="0" w:color="B7C6D9"/>
              <w:right w:val="single" w:sz="4" w:space="0" w:color="B7C6D9"/>
            </w:tcBorders>
            <w:shd w:val="clear" w:color="auto" w:fill="D6E4F0"/>
            <w:tcMar>
              <w:top w:w="80" w:type="dxa"/>
              <w:left w:w="120" w:type="dxa"/>
              <w:bottom w:w="80" w:type="dxa"/>
              <w:right w:w="120" w:type="dxa"/>
            </w:tcMar>
          </w:tcPr>
          <w:p w14:paraId="0EDDD457" w14:textId="77777777" w:rsidR="00F53D91" w:rsidRDefault="00101582">
            <w:r>
              <w:rPr>
                <w:b/>
                <w:bCs/>
              </w:rPr>
              <w:t>Service en charge du projet</w:t>
            </w:r>
          </w:p>
        </w:tc>
        <w:tc>
          <w:tcPr>
            <w:tcW w:w="6360" w:type="dxa"/>
            <w:tcBorders>
              <w:top w:val="single" w:sz="4" w:space="0" w:color="B7C6D9"/>
              <w:left w:val="single" w:sz="4" w:space="0" w:color="B7C6D9"/>
              <w:bottom w:val="single" w:sz="4" w:space="0" w:color="B7C6D9"/>
              <w:right w:val="single" w:sz="4" w:space="0" w:color="B7C6D9"/>
            </w:tcBorders>
            <w:tcMar>
              <w:top w:w="80" w:type="dxa"/>
              <w:left w:w="120" w:type="dxa"/>
              <w:bottom w:w="80" w:type="dxa"/>
              <w:right w:w="120" w:type="dxa"/>
            </w:tcMar>
          </w:tcPr>
          <w:p w14:paraId="6F27CE6B" w14:textId="77777777" w:rsidR="00F53D91" w:rsidRDefault="00101582">
            <w:r>
              <w:t xml:space="preserve">Mme Adeline </w:t>
            </w:r>
            <w:proofErr w:type="spellStart"/>
            <w:r>
              <w:t>Chopot</w:t>
            </w:r>
            <w:proofErr w:type="spellEnd"/>
            <w:r>
              <w:t>, Directrice Famille et Petite Enfance – Mairie d’Ostwald – Courriel : a.chopot@ostwald.fr</w:t>
            </w:r>
          </w:p>
        </w:tc>
      </w:tr>
    </w:tbl>
    <w:p w14:paraId="1DAAC046" w14:textId="77777777" w:rsidR="00F53D91" w:rsidRDefault="00F53D91">
      <w:pPr>
        <w:spacing w:after="120"/>
      </w:pPr>
    </w:p>
    <w:p w14:paraId="3A9F0968" w14:textId="77777777" w:rsidR="00F53D91" w:rsidRDefault="00101582">
      <w:pPr>
        <w:pStyle w:val="Titre2"/>
      </w:pPr>
      <w:r>
        <w:t>2.2 – Commission de délégation de service public</w:t>
      </w:r>
    </w:p>
    <w:p w14:paraId="0238BBAB" w14:textId="77777777" w:rsidR="00F53D91" w:rsidRDefault="00101582">
      <w:pPr>
        <w:spacing w:after="120" w:line="276" w:lineRule="auto"/>
        <w:jc w:val="both"/>
      </w:pPr>
      <w:r>
        <w:t>Conformément à l’article L1411-5 du CGCT, une commission de délégation de service public est notamment chargée :</w:t>
      </w:r>
    </w:p>
    <w:p w14:paraId="55843D47" w14:textId="77777777" w:rsidR="00F53D91" w:rsidRDefault="00101582">
      <w:pPr>
        <w:pStyle w:val="Paragraphedeliste"/>
        <w:numPr>
          <w:ilvl w:val="0"/>
          <w:numId w:val="2"/>
        </w:numPr>
        <w:spacing w:after="80" w:line="276" w:lineRule="auto"/>
        <w:jc w:val="both"/>
      </w:pPr>
      <w:r>
        <w:t>de dresser la liste des candidats admis à présenter une offre, après examen de leurs garanties professionnelles et financières, du respect de l’obligation d’emploi des travailleurs handicapés prévue aux articles L5212-1 à L5212-4 du Code du travail, et de leur aptitude à assurer la continuité du service public et l’égalité des usagers devant le service public ;</w:t>
      </w:r>
    </w:p>
    <w:p w14:paraId="4D2FA270" w14:textId="77777777" w:rsidR="00F53D91" w:rsidRDefault="00101582">
      <w:pPr>
        <w:pStyle w:val="Paragraphedeliste"/>
        <w:numPr>
          <w:ilvl w:val="0"/>
          <w:numId w:val="2"/>
        </w:numPr>
        <w:spacing w:after="80" w:line="276" w:lineRule="auto"/>
        <w:jc w:val="both"/>
      </w:pPr>
      <w:r>
        <w:t>d’émettre un avis sur les offres des candidats lors de la seconde phase.</w:t>
      </w:r>
    </w:p>
    <w:p w14:paraId="377784C5" w14:textId="77777777" w:rsidR="00F53D91" w:rsidRDefault="00F53D91">
      <w:pPr>
        <w:spacing w:after="120" w:line="276" w:lineRule="auto"/>
        <w:jc w:val="both"/>
      </w:pPr>
    </w:p>
    <w:p w14:paraId="7F2D4A7C" w14:textId="77777777" w:rsidR="00F53D91" w:rsidRDefault="00101582">
      <w:pPr>
        <w:pStyle w:val="Titre1"/>
      </w:pPr>
      <w:r>
        <w:lastRenderedPageBreak/>
        <w:t>Article 3 – Description du service public délégué</w:t>
      </w:r>
    </w:p>
    <w:p w14:paraId="078F7DD9" w14:textId="77777777" w:rsidR="00F53D91" w:rsidRDefault="00101582">
      <w:pPr>
        <w:spacing w:after="120" w:line="276" w:lineRule="auto"/>
        <w:jc w:val="both"/>
      </w:pPr>
      <w:r>
        <w:t>La Ville d’Ostwald confiera au futur délégataire l’exploitation du multi-accueil « Les Rives du Bohrie », structure d’accueil collectif d’une capacité autorisée de 60 places, accueillant des enfants de 10 semaines à 4 ans.</w:t>
      </w:r>
    </w:p>
    <w:p w14:paraId="26DB989E" w14:textId="77777777" w:rsidR="00F53D91" w:rsidRDefault="00101582">
      <w:pPr>
        <w:spacing w:after="80" w:line="276" w:lineRule="auto"/>
        <w:jc w:val="both"/>
      </w:pPr>
      <w:r>
        <w:t>Le futur délégataire aura notamment pour missions :</w:t>
      </w:r>
    </w:p>
    <w:p w14:paraId="517AB45F" w14:textId="77777777" w:rsidR="00F53D91" w:rsidRDefault="00101582">
      <w:pPr>
        <w:pStyle w:val="Paragraphedeliste"/>
        <w:numPr>
          <w:ilvl w:val="0"/>
          <w:numId w:val="2"/>
        </w:numPr>
        <w:spacing w:after="80" w:line="276" w:lineRule="auto"/>
        <w:jc w:val="both"/>
      </w:pPr>
      <w:r>
        <w:t>la gestion quotidienne de la structure et du personnel (environ 18,4 ETP) ;</w:t>
      </w:r>
    </w:p>
    <w:p w14:paraId="6B668B95" w14:textId="77777777" w:rsidR="00F53D91" w:rsidRDefault="00101582">
      <w:pPr>
        <w:pStyle w:val="Paragraphedeliste"/>
        <w:numPr>
          <w:ilvl w:val="0"/>
          <w:numId w:val="2"/>
        </w:numPr>
        <w:spacing w:after="80" w:line="276" w:lineRule="auto"/>
        <w:jc w:val="both"/>
      </w:pPr>
      <w:r>
        <w:t>l’accueil des enfants et des familles, dans le respect des dispositions législatives et réglementaires applicables aux établissements d’accueil du jeune enfant, ainsi que des exigences de la CAF, de la PSU et de la PMI ;</w:t>
      </w:r>
    </w:p>
    <w:p w14:paraId="5805C29F" w14:textId="77777777" w:rsidR="00F53D91" w:rsidRDefault="00101582">
      <w:pPr>
        <w:pStyle w:val="Paragraphedeliste"/>
        <w:numPr>
          <w:ilvl w:val="0"/>
          <w:numId w:val="2"/>
        </w:numPr>
        <w:spacing w:after="80" w:line="276" w:lineRule="auto"/>
        <w:jc w:val="both"/>
      </w:pPr>
      <w:r>
        <w:t>la facturation des usagers et la relation avec la CAF ;</w:t>
      </w:r>
    </w:p>
    <w:p w14:paraId="70083263" w14:textId="77777777" w:rsidR="00F53D91" w:rsidRDefault="00101582">
      <w:pPr>
        <w:pStyle w:val="Paragraphedeliste"/>
        <w:numPr>
          <w:ilvl w:val="0"/>
          <w:numId w:val="2"/>
        </w:numPr>
        <w:spacing w:after="80" w:line="276" w:lineRule="auto"/>
        <w:jc w:val="both"/>
      </w:pPr>
      <w:r>
        <w:t>la continuité du service public et l’égalité de traitement des usagers ;</w:t>
      </w:r>
    </w:p>
    <w:p w14:paraId="0581FE00" w14:textId="77777777" w:rsidR="00F53D91" w:rsidRDefault="00101582">
      <w:pPr>
        <w:pStyle w:val="Paragraphedeliste"/>
        <w:numPr>
          <w:ilvl w:val="0"/>
          <w:numId w:val="2"/>
        </w:numPr>
        <w:spacing w:after="80" w:line="276" w:lineRule="auto"/>
        <w:jc w:val="both"/>
      </w:pPr>
      <w:r>
        <w:t>la mise en œuvre d’un projet éducatif et pédagogique ;</w:t>
      </w:r>
    </w:p>
    <w:p w14:paraId="66F9E731" w14:textId="77777777" w:rsidR="00F53D91" w:rsidRDefault="00101582">
      <w:pPr>
        <w:pStyle w:val="Paragraphedeliste"/>
        <w:numPr>
          <w:ilvl w:val="0"/>
          <w:numId w:val="2"/>
        </w:numPr>
        <w:spacing w:after="80" w:line="276" w:lineRule="auto"/>
        <w:jc w:val="both"/>
      </w:pPr>
      <w:r>
        <w:t>l’entretien courant et la maintenance des locaux mis à disposition ;</w:t>
      </w:r>
    </w:p>
    <w:p w14:paraId="1C272E8D" w14:textId="77777777" w:rsidR="00F53D91" w:rsidRDefault="00101582">
      <w:pPr>
        <w:pStyle w:val="Paragraphedeliste"/>
        <w:numPr>
          <w:ilvl w:val="0"/>
          <w:numId w:val="2"/>
        </w:numPr>
        <w:spacing w:after="80" w:line="276" w:lineRule="auto"/>
        <w:jc w:val="both"/>
      </w:pPr>
      <w:r>
        <w:t>l’encadrement du personnel selon les normes réglementaires en vigueur.</w:t>
      </w:r>
    </w:p>
    <w:p w14:paraId="26319258" w14:textId="77777777" w:rsidR="00F53D91" w:rsidRDefault="00101582">
      <w:pPr>
        <w:spacing w:after="240" w:line="276" w:lineRule="auto"/>
        <w:jc w:val="both"/>
      </w:pPr>
      <w:r>
        <w:rPr>
          <w:i/>
          <w:iCs/>
        </w:rPr>
        <w:t>La participation financière de la Ville, les modalités de redevance, les conditions de reprise et de gestion des personnels, les obligations de reporting ainsi que les conditions techniques détaillées figureront dans le dossier de consultation de la phase « offres ».</w:t>
      </w:r>
    </w:p>
    <w:p w14:paraId="56C7F982" w14:textId="77777777" w:rsidR="00F53D91" w:rsidRDefault="00101582">
      <w:pPr>
        <w:pStyle w:val="Titre1"/>
      </w:pPr>
      <w:r>
        <w:t>Article 4 – Caractéristiques et déroulement de la procédure</w:t>
      </w:r>
    </w:p>
    <w:p w14:paraId="50BBCB44" w14:textId="77777777" w:rsidR="00F53D91" w:rsidRDefault="00101582">
      <w:pPr>
        <w:spacing w:after="120" w:line="276" w:lineRule="auto"/>
        <w:jc w:val="both"/>
      </w:pPr>
      <w:r>
        <w:t>La présente consultation est menée conformément aux articles L1411-1 et suivants et R1411-1 et suivants du CGCT, ainsi qu’aux articles L3120-1 et suivants et R3120-1 et suivants du CCP. Elle comprend deux phases.</w:t>
      </w:r>
    </w:p>
    <w:p w14:paraId="4F71BDC7" w14:textId="77777777" w:rsidR="00F53D91" w:rsidRDefault="00101582">
      <w:pPr>
        <w:pStyle w:val="Titre2"/>
      </w:pPr>
      <w:r>
        <w:t>Phase 1 – Sélection des candidatures (objet du présent règlement)</w:t>
      </w:r>
    </w:p>
    <w:p w14:paraId="598A5F79" w14:textId="77777777" w:rsidR="00F53D91" w:rsidRDefault="00101582">
      <w:pPr>
        <w:pStyle w:val="Paragraphedeliste"/>
        <w:numPr>
          <w:ilvl w:val="0"/>
          <w:numId w:val="2"/>
        </w:numPr>
        <w:spacing w:after="80" w:line="276" w:lineRule="auto"/>
        <w:jc w:val="both"/>
      </w:pPr>
      <w:r>
        <w:t>publication d’un avis de concession, ayant pour objet le recueil des candidatures des opérateurs économiques intéressés ;</w:t>
      </w:r>
    </w:p>
    <w:p w14:paraId="2C7D792E" w14:textId="77777777" w:rsidR="00F53D91" w:rsidRDefault="00101582">
      <w:pPr>
        <w:pStyle w:val="Paragraphedeliste"/>
        <w:numPr>
          <w:ilvl w:val="0"/>
          <w:numId w:val="2"/>
        </w:numPr>
        <w:spacing w:after="80" w:line="276" w:lineRule="auto"/>
        <w:jc w:val="both"/>
      </w:pPr>
      <w:r>
        <w:t>dès réception des plis, examen des candidatures par la commission visée à l’article 2.2 (garanties professionnelles et financières, aptitude à assurer la continuité du service public et l’égalité de traitement des usagers) ;</w:t>
      </w:r>
    </w:p>
    <w:p w14:paraId="649E937B" w14:textId="77777777" w:rsidR="00F53D91" w:rsidRDefault="00101582">
      <w:pPr>
        <w:pStyle w:val="Paragraphedeliste"/>
        <w:numPr>
          <w:ilvl w:val="0"/>
          <w:numId w:val="2"/>
        </w:numPr>
        <w:spacing w:after="80" w:line="276" w:lineRule="auto"/>
        <w:jc w:val="both"/>
      </w:pPr>
      <w:r>
        <w:t>établissement, par la commission, de la liste des candidats admis à présenter une offre.</w:t>
      </w:r>
    </w:p>
    <w:p w14:paraId="328CB13F" w14:textId="77777777" w:rsidR="00F53D91" w:rsidRDefault="00101582">
      <w:pPr>
        <w:pStyle w:val="Titre2"/>
      </w:pPr>
      <w:r>
        <w:t>Phase 2 – Consultation des candidats admis</w:t>
      </w:r>
    </w:p>
    <w:p w14:paraId="5A789660" w14:textId="77777777" w:rsidR="00F53D91" w:rsidRDefault="00101582">
      <w:pPr>
        <w:pStyle w:val="Paragraphedeliste"/>
        <w:numPr>
          <w:ilvl w:val="0"/>
          <w:numId w:val="2"/>
        </w:numPr>
        <w:spacing w:after="80" w:line="276" w:lineRule="auto"/>
        <w:jc w:val="both"/>
      </w:pPr>
      <w:r>
        <w:t>remise des offres et visite du site ;</w:t>
      </w:r>
    </w:p>
    <w:p w14:paraId="5F2DCE92" w14:textId="77777777" w:rsidR="00F53D91" w:rsidRDefault="00101582">
      <w:pPr>
        <w:pStyle w:val="Paragraphedeliste"/>
        <w:numPr>
          <w:ilvl w:val="0"/>
          <w:numId w:val="2"/>
        </w:numPr>
        <w:spacing w:after="80" w:line="276" w:lineRule="auto"/>
        <w:jc w:val="both"/>
      </w:pPr>
      <w:r>
        <w:t>négociation éventuelle ;</w:t>
      </w:r>
    </w:p>
    <w:p w14:paraId="7B5A8DE1" w14:textId="77777777" w:rsidR="00F53D91" w:rsidRDefault="00101582">
      <w:pPr>
        <w:pStyle w:val="Paragraphedeliste"/>
        <w:numPr>
          <w:ilvl w:val="0"/>
          <w:numId w:val="2"/>
        </w:numPr>
        <w:spacing w:after="80" w:line="276" w:lineRule="auto"/>
        <w:jc w:val="both"/>
      </w:pPr>
      <w:r>
        <w:t>choix du délégataire.</w:t>
      </w:r>
    </w:p>
    <w:p w14:paraId="5C01DE95" w14:textId="77777777" w:rsidR="00F53D91" w:rsidRDefault="00101582">
      <w:pPr>
        <w:spacing w:after="240" w:line="276" w:lineRule="auto"/>
        <w:jc w:val="both"/>
      </w:pPr>
      <w:r>
        <w:rPr>
          <w:b/>
          <w:bCs/>
        </w:rPr>
        <w:t>Cette seconde phase fera l’objet d’un règlement de consultation distinct, transmis aux seuls candidats retenus.</w:t>
      </w:r>
    </w:p>
    <w:p w14:paraId="4EC4DF0F" w14:textId="77777777" w:rsidR="00F53D91" w:rsidRDefault="00101582">
      <w:pPr>
        <w:pStyle w:val="Titre1"/>
      </w:pPr>
      <w:r>
        <w:t>Article 5 – Publicité</w:t>
      </w:r>
    </w:p>
    <w:p w14:paraId="71AE0F9F" w14:textId="77777777" w:rsidR="00F53D91" w:rsidRDefault="00101582">
      <w:pPr>
        <w:spacing w:after="80" w:line="276" w:lineRule="auto"/>
        <w:jc w:val="both"/>
      </w:pPr>
      <w:r>
        <w:t>L’avis de concession est diffusé :</w:t>
      </w:r>
    </w:p>
    <w:p w14:paraId="3D9A4A69" w14:textId="77777777" w:rsidR="00F53D91" w:rsidRDefault="00101582">
      <w:pPr>
        <w:pStyle w:val="Paragraphedeliste"/>
        <w:numPr>
          <w:ilvl w:val="0"/>
          <w:numId w:val="2"/>
        </w:numPr>
        <w:spacing w:after="80" w:line="276" w:lineRule="auto"/>
        <w:jc w:val="both"/>
      </w:pPr>
      <w:r>
        <w:t>sur le profil acheteur : www.alsacemarchespublics.eu ;</w:t>
      </w:r>
    </w:p>
    <w:p w14:paraId="63257D87" w14:textId="77777777" w:rsidR="00F53D91" w:rsidRDefault="00101582">
      <w:pPr>
        <w:pStyle w:val="Paragraphedeliste"/>
        <w:numPr>
          <w:ilvl w:val="0"/>
          <w:numId w:val="2"/>
        </w:numPr>
        <w:spacing w:after="80" w:line="276" w:lineRule="auto"/>
        <w:jc w:val="both"/>
      </w:pPr>
      <w:r>
        <w:lastRenderedPageBreak/>
        <w:t>sur le site internet de la Ville d’Ostwald ;</w:t>
      </w:r>
    </w:p>
    <w:p w14:paraId="304D86A6" w14:textId="77777777" w:rsidR="00F53D91" w:rsidRDefault="00101582">
      <w:pPr>
        <w:pStyle w:val="Paragraphedeliste"/>
        <w:numPr>
          <w:ilvl w:val="0"/>
          <w:numId w:val="2"/>
        </w:numPr>
        <w:spacing w:after="80" w:line="276" w:lineRule="auto"/>
        <w:jc w:val="both"/>
      </w:pPr>
      <w:r>
        <w:t>au BOAMP et au JOUE, conformément aux obligations applicables compte tenu de la valeur estimée de la concession ;</w:t>
      </w:r>
    </w:p>
    <w:p w14:paraId="293369A5" w14:textId="77777777" w:rsidR="00F53D91" w:rsidRDefault="00101582">
      <w:pPr>
        <w:pStyle w:val="Paragraphedeliste"/>
        <w:numPr>
          <w:ilvl w:val="0"/>
          <w:numId w:val="2"/>
        </w:numPr>
        <w:spacing w:after="80" w:line="276" w:lineRule="auto"/>
        <w:jc w:val="both"/>
      </w:pPr>
      <w:r>
        <w:t>le cas échéant, dans une publication spécialisée du secteur social ou de la petite enfance.</w:t>
      </w:r>
    </w:p>
    <w:p w14:paraId="3468A287" w14:textId="77777777" w:rsidR="00F53D91" w:rsidRDefault="00F53D91">
      <w:pPr>
        <w:spacing w:after="200" w:line="276" w:lineRule="auto"/>
        <w:jc w:val="both"/>
      </w:pPr>
    </w:p>
    <w:p w14:paraId="2D2FE8BD" w14:textId="77777777" w:rsidR="00F53D91" w:rsidRDefault="00101582">
      <w:pPr>
        <w:pStyle w:val="Titre1"/>
      </w:pPr>
      <w:r>
        <w:t>Article 6 – Retrait du dossier</w:t>
      </w:r>
    </w:p>
    <w:p w14:paraId="22007061" w14:textId="77777777" w:rsidR="00F53D91" w:rsidRDefault="00101582">
      <w:pPr>
        <w:spacing w:after="120" w:line="276" w:lineRule="auto"/>
        <w:jc w:val="both"/>
      </w:pPr>
      <w:r>
        <w:t>Le présent règlement de consultation est disponible gratuitement, en téléchargement, sur le profil acheteur.</w:t>
      </w:r>
    </w:p>
    <w:p w14:paraId="05E40B4A" w14:textId="77777777" w:rsidR="00F53D91" w:rsidRDefault="00101582">
      <w:pPr>
        <w:spacing w:after="240" w:line="276" w:lineRule="auto"/>
        <w:jc w:val="both"/>
      </w:pPr>
      <w:r>
        <w:t>À ce stade de la procédure, seul le présent règlement est mis à disposition des opérateurs économiques. Le dossier de consultation de la phase « offres » sera transmis aux seuls candidats admis à présenter une offre.</w:t>
      </w:r>
    </w:p>
    <w:p w14:paraId="1891C564" w14:textId="77777777" w:rsidR="00F53D91" w:rsidRDefault="00101582">
      <w:pPr>
        <w:pStyle w:val="Titre1"/>
      </w:pPr>
      <w:r>
        <w:t>Article 7 – Composition du dossier de candidature</w:t>
      </w:r>
    </w:p>
    <w:p w14:paraId="2B4E46F3" w14:textId="77777777" w:rsidR="00F53D91" w:rsidRDefault="00101582">
      <w:pPr>
        <w:spacing w:after="120" w:line="276" w:lineRule="auto"/>
        <w:jc w:val="both"/>
      </w:pPr>
      <w:r>
        <w:t>Les candidats fournissent les éléments demandés, rédigés en langue française et regroupés dans un dossier intitulé « Candidature – DSP Multi-accueil Bohrie ».</w:t>
      </w:r>
    </w:p>
    <w:p w14:paraId="7504A5E6" w14:textId="77777777" w:rsidR="00F53D91" w:rsidRDefault="00101582">
      <w:pPr>
        <w:pStyle w:val="Titre2"/>
      </w:pPr>
      <w:r>
        <w:t>7.1 – Situation juridique du candidat</w:t>
      </w:r>
    </w:p>
    <w:p w14:paraId="4E5D6FA6" w14:textId="77777777" w:rsidR="00F53D91" w:rsidRDefault="00101582">
      <w:pPr>
        <w:pStyle w:val="Paragraphedeliste"/>
        <w:numPr>
          <w:ilvl w:val="0"/>
          <w:numId w:val="2"/>
        </w:numPr>
        <w:spacing w:after="80" w:line="276" w:lineRule="auto"/>
        <w:jc w:val="both"/>
      </w:pPr>
      <w:r>
        <w:t>une déclaration de candidature (DC1, DUME ou équivalent) identifiant l’entreprise, sa forme juridique et son capital social, accompagnée du pouvoir de la personne habilitée à l’engager ; en cas de groupement, la composition et la forme du groupement, ainsi que le pouvoir donné au mandataire par les cotraitants ;</w:t>
      </w:r>
    </w:p>
    <w:p w14:paraId="71912053" w14:textId="77777777" w:rsidR="00F53D91" w:rsidRDefault="00101582">
      <w:pPr>
        <w:pStyle w:val="Paragraphedeliste"/>
        <w:numPr>
          <w:ilvl w:val="0"/>
          <w:numId w:val="2"/>
        </w:numPr>
        <w:spacing w:after="80" w:line="276" w:lineRule="auto"/>
        <w:jc w:val="both"/>
      </w:pPr>
      <w:r>
        <w:t>le justificatif de pouvoir de la personne habilitée à engager le candidat ;</w:t>
      </w:r>
    </w:p>
    <w:p w14:paraId="6791F501" w14:textId="77777777" w:rsidR="00F53D91" w:rsidRDefault="00101582">
      <w:pPr>
        <w:pStyle w:val="Paragraphedeliste"/>
        <w:numPr>
          <w:ilvl w:val="0"/>
          <w:numId w:val="2"/>
        </w:numPr>
        <w:spacing w:after="80" w:line="276" w:lineRule="auto"/>
        <w:jc w:val="both"/>
      </w:pPr>
      <w:r>
        <w:t>une déclaration sur l’honneur, datée et signée, attestant que le candidat ne fait l’objet d’aucune exclusion de la procédure de passation des contrats de concession prévue aux articles L3123-1 à L3123-14 du CCP, et que les renseignements et documents relatifs à ses capacités et aptitudes (articles L3123-18, L3123-19 et L3123-21, dans les conditions fixées aux articles R3123-1 à R3123-8) sont exacts ;</w:t>
      </w:r>
    </w:p>
    <w:p w14:paraId="65711415" w14:textId="77777777" w:rsidR="00F53D91" w:rsidRDefault="00101582">
      <w:pPr>
        <w:pStyle w:val="Paragraphedeliste"/>
        <w:numPr>
          <w:ilvl w:val="0"/>
          <w:numId w:val="2"/>
        </w:numPr>
        <w:spacing w:after="80" w:line="276" w:lineRule="auto"/>
        <w:jc w:val="both"/>
      </w:pPr>
      <w:r>
        <w:t>une déclaration sur l’honneur attestant que le candidat ne se trouve pas en situation d’interdiction de soumissionner au titre des dispositions relatives au travail dissimulé ;</w:t>
      </w:r>
    </w:p>
    <w:p w14:paraId="3E1C58F9" w14:textId="77777777" w:rsidR="00F53D91" w:rsidRDefault="00101582">
      <w:pPr>
        <w:pStyle w:val="Paragraphedeliste"/>
        <w:numPr>
          <w:ilvl w:val="0"/>
          <w:numId w:val="2"/>
        </w:numPr>
        <w:spacing w:after="80" w:line="276" w:lineRule="auto"/>
        <w:jc w:val="both"/>
      </w:pPr>
      <w:r>
        <w:t>la copie des certificats délivrés par les autorités compétentes justifiant que le candidat a satisfait à ses obligations fiscales, parafiscales et sociales (liste fixée par l’arrêté du 22 mars 2019). À défaut, une attestation sur l’honneur, le candidat s’engageant à produire les certificats dans le délai fixé par l’autorité délégante en cas de demande ;</w:t>
      </w:r>
    </w:p>
    <w:p w14:paraId="608E1F26" w14:textId="77777777" w:rsidR="00F53D91" w:rsidRDefault="00101582">
      <w:pPr>
        <w:pStyle w:val="Paragraphedeliste"/>
        <w:numPr>
          <w:ilvl w:val="0"/>
          <w:numId w:val="2"/>
        </w:numPr>
        <w:spacing w:after="80" w:line="276" w:lineRule="auto"/>
        <w:jc w:val="both"/>
      </w:pPr>
      <w:r>
        <w:t>les attestations d’assurance responsabilité civile et professionnelle en cours de validité pour l’activité objet de la délégation, ou à défaut l’engagement de souscrire les assurances nécessaires.</w:t>
      </w:r>
    </w:p>
    <w:p w14:paraId="474DD4B6" w14:textId="77777777" w:rsidR="00F53D91" w:rsidRDefault="00101582">
      <w:pPr>
        <w:pStyle w:val="Titre2"/>
      </w:pPr>
      <w:r>
        <w:t>7.2 – Capacité économique et financière</w:t>
      </w:r>
    </w:p>
    <w:p w14:paraId="0FE63724" w14:textId="60C3B547" w:rsidR="00F53D91" w:rsidRPr="003849AA" w:rsidRDefault="00101582">
      <w:pPr>
        <w:pStyle w:val="Paragraphedeliste"/>
        <w:numPr>
          <w:ilvl w:val="0"/>
          <w:numId w:val="2"/>
        </w:numPr>
        <w:spacing w:after="80" w:line="276" w:lineRule="auto"/>
        <w:jc w:val="both"/>
      </w:pPr>
      <w:r>
        <w:t xml:space="preserve">pour les associations : copie des statuts, de la déclaration au Journal officiel et du dernier procès-verbal d’assemblée générale </w:t>
      </w:r>
      <w:r w:rsidRPr="003849AA">
        <w:t>;</w:t>
      </w:r>
      <w:r w:rsidR="00094185" w:rsidRPr="003849AA">
        <w:t xml:space="preserve"> ou pour les associations de droit local, le tribunal de proximité.</w:t>
      </w:r>
    </w:p>
    <w:p w14:paraId="0DDE1E92" w14:textId="77777777" w:rsidR="00F53D91" w:rsidRDefault="00101582">
      <w:pPr>
        <w:pStyle w:val="Paragraphedeliste"/>
        <w:numPr>
          <w:ilvl w:val="0"/>
          <w:numId w:val="2"/>
        </w:numPr>
        <w:spacing w:after="80" w:line="276" w:lineRule="auto"/>
        <w:jc w:val="both"/>
      </w:pPr>
      <w:r>
        <w:lastRenderedPageBreak/>
        <w:t xml:space="preserve">pour les entreprises et sociétés : extrait </w:t>
      </w:r>
      <w:proofErr w:type="spellStart"/>
      <w:r>
        <w:t>Kbis</w:t>
      </w:r>
      <w:proofErr w:type="spellEnd"/>
      <w:r>
        <w:t xml:space="preserve"> ou document attestant de l’inscription au registre du commerce et des sociétés, composition du capital social et statuts ;</w:t>
      </w:r>
    </w:p>
    <w:p w14:paraId="1D478D40" w14:textId="77777777" w:rsidR="00F53D91" w:rsidRDefault="00101582">
      <w:pPr>
        <w:pStyle w:val="Paragraphedeliste"/>
        <w:numPr>
          <w:ilvl w:val="0"/>
          <w:numId w:val="2"/>
        </w:numPr>
        <w:spacing w:after="80" w:line="276" w:lineRule="auto"/>
        <w:jc w:val="both"/>
      </w:pPr>
      <w:r>
        <w:t>bilans, comptes de résultat ou extraits de comptes annuels des trois derniers exercices (pour les opérateurs tenus de les établir), assortis du chiffre d’affaires global et du chiffre d’affaires relatif aux prestations objet de la délégation. En cas de création récente, justificatifs correspondants et garanties bancaires.</w:t>
      </w:r>
    </w:p>
    <w:p w14:paraId="5D028B4B" w14:textId="77777777" w:rsidR="00F53D91" w:rsidRDefault="00101582">
      <w:pPr>
        <w:pStyle w:val="Titre2"/>
      </w:pPr>
      <w:r>
        <w:t>7.3 – Capacité technique et professionnelle</w:t>
      </w:r>
    </w:p>
    <w:p w14:paraId="45A69B2E" w14:textId="77777777" w:rsidR="00F53D91" w:rsidRDefault="00101582">
      <w:pPr>
        <w:pStyle w:val="Paragraphedeliste"/>
        <w:numPr>
          <w:ilvl w:val="0"/>
          <w:numId w:val="2"/>
        </w:numPr>
        <w:spacing w:after="80" w:line="276" w:lineRule="auto"/>
        <w:jc w:val="both"/>
      </w:pPr>
      <w:r>
        <w:t>une présentation synthétique du candidat ou de l’équipe candidate : effectif moyen annuel et personnel d’encadrement moyen sur les cinq dernières années (2 pages A4 maximum) ;</w:t>
      </w:r>
    </w:p>
    <w:p w14:paraId="239C12DF" w14:textId="77777777" w:rsidR="00F53D91" w:rsidRDefault="00101582">
      <w:pPr>
        <w:pStyle w:val="Paragraphedeliste"/>
        <w:numPr>
          <w:ilvl w:val="0"/>
          <w:numId w:val="2"/>
        </w:numPr>
        <w:spacing w:after="80" w:line="276" w:lineRule="auto"/>
        <w:jc w:val="both"/>
      </w:pPr>
      <w:r>
        <w:t>les certifications, labels ou démarches qualité éventuels ;</w:t>
      </w:r>
    </w:p>
    <w:p w14:paraId="358CC2B7" w14:textId="77777777" w:rsidR="00F53D91" w:rsidRDefault="00101582">
      <w:pPr>
        <w:pStyle w:val="Paragraphedeliste"/>
        <w:numPr>
          <w:ilvl w:val="0"/>
          <w:numId w:val="2"/>
        </w:numPr>
        <w:spacing w:after="80" w:line="276" w:lineRule="auto"/>
        <w:jc w:val="both"/>
      </w:pPr>
      <w:r>
        <w:t>en cas de groupement : composition, compétences, répartition des tâches, moyens humains et techniques, structure juridique du mandataire, et complémentarité des membres (2 pages A4 maximum) ;</w:t>
      </w:r>
    </w:p>
    <w:p w14:paraId="7416A7D1" w14:textId="77777777" w:rsidR="00F53D91" w:rsidRDefault="00101582">
      <w:pPr>
        <w:pStyle w:val="Paragraphedeliste"/>
        <w:numPr>
          <w:ilvl w:val="0"/>
          <w:numId w:val="2"/>
        </w:numPr>
        <w:spacing w:after="80" w:line="276" w:lineRule="auto"/>
        <w:jc w:val="both"/>
      </w:pPr>
      <w:r>
        <w:t>des références en gestion de structures comparables, en adéquation avec la nature et l’objet du projet, réalisées au cours des cinq dernières années, indiquant le montant, la date, le destinataire (public ou privé), la capacité d’accueil et la durée de la délégation ;</w:t>
      </w:r>
    </w:p>
    <w:p w14:paraId="2430E5C1" w14:textId="77777777" w:rsidR="00F53D91" w:rsidRDefault="00101582">
      <w:pPr>
        <w:pStyle w:val="Paragraphedeliste"/>
        <w:numPr>
          <w:ilvl w:val="0"/>
          <w:numId w:val="2"/>
        </w:numPr>
        <w:spacing w:after="80" w:line="276" w:lineRule="auto"/>
        <w:jc w:val="both"/>
      </w:pPr>
      <w:r>
        <w:t>le cas échéant, tout document complémentaire utile à l’appréciation des capacités techniques et professionnelles (10 pages A4 maximum).</w:t>
      </w:r>
    </w:p>
    <w:p w14:paraId="02EAD517" w14:textId="77777777" w:rsidR="00F53D91" w:rsidRDefault="00F53D91">
      <w:pPr>
        <w:spacing w:after="200" w:line="276" w:lineRule="auto"/>
        <w:jc w:val="both"/>
      </w:pPr>
    </w:p>
    <w:p w14:paraId="05FD7AC6" w14:textId="77777777" w:rsidR="00F53D91" w:rsidRDefault="00101582">
      <w:pPr>
        <w:pStyle w:val="Titre1"/>
      </w:pPr>
      <w:r>
        <w:t>Article 8 – Groupements</w:t>
      </w:r>
    </w:p>
    <w:p w14:paraId="685B9FDF" w14:textId="77777777" w:rsidR="00F53D91" w:rsidRDefault="00101582">
      <w:pPr>
        <w:spacing w:after="120" w:line="276" w:lineRule="auto"/>
        <w:jc w:val="both"/>
      </w:pPr>
      <w:r>
        <w:t>Les groupements d’opérateurs économiques sont autorisés à ce stade de la candidature.</w:t>
      </w:r>
    </w:p>
    <w:p w14:paraId="1E1129B6" w14:textId="77777777" w:rsidR="00F53D91" w:rsidRDefault="00101582">
      <w:pPr>
        <w:spacing w:after="120" w:line="276" w:lineRule="auto"/>
        <w:jc w:val="both"/>
      </w:pPr>
      <w:r>
        <w:t>En cas d’attribution à un groupement conjoint, l’autorité délégante pourra exiger sa transformation en groupement solidaire si cela est nécessaire à la bonne exécution du contrat, compte tenu de la nature des prestations confiées.</w:t>
      </w:r>
    </w:p>
    <w:p w14:paraId="1379F167" w14:textId="77777777" w:rsidR="00F53D91" w:rsidRDefault="00101582">
      <w:pPr>
        <w:spacing w:after="240" w:line="276" w:lineRule="auto"/>
        <w:jc w:val="both"/>
      </w:pPr>
      <w:r>
        <w:t>Un opérateur ne peut être mandataire de plus d’un groupement. Une candidature individuelle et une candidature en groupement impliquant le même opérateur sont interdites.</w:t>
      </w:r>
    </w:p>
    <w:p w14:paraId="482EBE6E" w14:textId="77777777" w:rsidR="00F53D91" w:rsidRDefault="00101582">
      <w:pPr>
        <w:pStyle w:val="Titre1"/>
      </w:pPr>
      <w:r>
        <w:t>Article 9 – Critères de sélection des candidatures</w:t>
      </w:r>
    </w:p>
    <w:p w14:paraId="444C5CC6" w14:textId="77777777" w:rsidR="00F53D91" w:rsidRDefault="00101582">
      <w:pPr>
        <w:spacing w:after="120" w:line="276" w:lineRule="auto"/>
        <w:jc w:val="both"/>
      </w:pPr>
      <w:r>
        <w:t>Conformément à l’article L1411-5 du CGCT, la commission de délégation de service public examine les candidatures au regard des critères suivants.</w:t>
      </w:r>
    </w:p>
    <w:p w14:paraId="408FF777" w14:textId="77777777" w:rsidR="00F53D91" w:rsidRDefault="00101582">
      <w:pPr>
        <w:pStyle w:val="Titre2"/>
      </w:pPr>
      <w:r>
        <w:t>1. Garanties professionnelles et techniques</w:t>
      </w:r>
    </w:p>
    <w:p w14:paraId="6E155A68" w14:textId="77777777" w:rsidR="00F53D91" w:rsidRDefault="00101582">
      <w:pPr>
        <w:pStyle w:val="Paragraphedeliste"/>
        <w:numPr>
          <w:ilvl w:val="0"/>
          <w:numId w:val="2"/>
        </w:numPr>
        <w:spacing w:after="80" w:line="276" w:lineRule="auto"/>
        <w:jc w:val="both"/>
      </w:pPr>
      <w:r>
        <w:t>références en gestion et exploitation de structures d’accueil collectif de la petite enfance, de taille et de nature comparables (EAJE, multi-accueil), au cours des cinq dernières années ;</w:t>
      </w:r>
    </w:p>
    <w:p w14:paraId="443A413D" w14:textId="77777777" w:rsidR="00F53D91" w:rsidRDefault="00101582">
      <w:pPr>
        <w:pStyle w:val="Paragraphedeliste"/>
        <w:numPr>
          <w:ilvl w:val="0"/>
          <w:numId w:val="2"/>
        </w:numPr>
        <w:spacing w:after="80" w:line="276" w:lineRule="auto"/>
        <w:jc w:val="both"/>
      </w:pPr>
      <w:r>
        <w:t>qualifications et expérience de l’équipe d’encadrement ;</w:t>
      </w:r>
    </w:p>
    <w:p w14:paraId="09E5ABF0" w14:textId="77777777" w:rsidR="00F53D91" w:rsidRDefault="00101582">
      <w:pPr>
        <w:pStyle w:val="Paragraphedeliste"/>
        <w:numPr>
          <w:ilvl w:val="0"/>
          <w:numId w:val="2"/>
        </w:numPr>
        <w:spacing w:after="80" w:line="276" w:lineRule="auto"/>
        <w:jc w:val="both"/>
      </w:pPr>
      <w:r>
        <w:t>certifications, labels qualité ou agréments obtenus.</w:t>
      </w:r>
    </w:p>
    <w:p w14:paraId="4B01C372" w14:textId="77777777" w:rsidR="00F53D91" w:rsidRDefault="00101582">
      <w:pPr>
        <w:pStyle w:val="Titre2"/>
      </w:pPr>
      <w:r>
        <w:t>2. Capacités économiques et financières</w:t>
      </w:r>
    </w:p>
    <w:p w14:paraId="1DB3BB2B" w14:textId="77777777" w:rsidR="00F53D91" w:rsidRDefault="00101582">
      <w:pPr>
        <w:pStyle w:val="Paragraphedeliste"/>
        <w:numPr>
          <w:ilvl w:val="0"/>
          <w:numId w:val="2"/>
        </w:numPr>
        <w:spacing w:after="80" w:line="276" w:lineRule="auto"/>
        <w:jc w:val="both"/>
      </w:pPr>
      <w:r>
        <w:t>solidité financière appréciée au regard des bilans et comptes de résultat des trois derniers exercices ;</w:t>
      </w:r>
    </w:p>
    <w:p w14:paraId="1320106E" w14:textId="77777777" w:rsidR="00F53D91" w:rsidRDefault="00101582">
      <w:pPr>
        <w:pStyle w:val="Paragraphedeliste"/>
        <w:numPr>
          <w:ilvl w:val="0"/>
          <w:numId w:val="2"/>
        </w:numPr>
        <w:spacing w:after="80" w:line="276" w:lineRule="auto"/>
        <w:jc w:val="both"/>
      </w:pPr>
      <w:r>
        <w:lastRenderedPageBreak/>
        <w:t>chiffre d’affaires dans le domaine de la petite enfance ;</w:t>
      </w:r>
    </w:p>
    <w:p w14:paraId="5022FB17" w14:textId="77777777" w:rsidR="00F53D91" w:rsidRDefault="00101582">
      <w:pPr>
        <w:pStyle w:val="Paragraphedeliste"/>
        <w:numPr>
          <w:ilvl w:val="0"/>
          <w:numId w:val="2"/>
        </w:numPr>
        <w:spacing w:after="80" w:line="276" w:lineRule="auto"/>
        <w:jc w:val="both"/>
      </w:pPr>
      <w:r>
        <w:t>garanties bancaires, le cas échéant (création récente).</w:t>
      </w:r>
    </w:p>
    <w:p w14:paraId="690784DC" w14:textId="77777777" w:rsidR="00F53D91" w:rsidRDefault="00101582">
      <w:pPr>
        <w:pStyle w:val="Titre2"/>
      </w:pPr>
      <w:r>
        <w:t>3. Aptitude à assurer la continuité du service public et l’égalité des usagers</w:t>
      </w:r>
    </w:p>
    <w:p w14:paraId="6080CE27" w14:textId="77777777" w:rsidR="00F53D91" w:rsidRDefault="00101582">
      <w:pPr>
        <w:pStyle w:val="Paragraphedeliste"/>
        <w:numPr>
          <w:ilvl w:val="0"/>
          <w:numId w:val="2"/>
        </w:numPr>
        <w:spacing w:after="80" w:line="276" w:lineRule="auto"/>
        <w:jc w:val="both"/>
      </w:pPr>
      <w:r>
        <w:t>moyens humains et organisationnels mobilisables ;</w:t>
      </w:r>
    </w:p>
    <w:p w14:paraId="48718D07" w14:textId="77777777" w:rsidR="00F53D91" w:rsidRDefault="00101582">
      <w:pPr>
        <w:pStyle w:val="Paragraphedeliste"/>
        <w:numPr>
          <w:ilvl w:val="0"/>
          <w:numId w:val="2"/>
        </w:numPr>
        <w:spacing w:after="80" w:line="276" w:lineRule="auto"/>
        <w:jc w:val="both"/>
      </w:pPr>
      <w:r>
        <w:t>capacité à garantir un fonctionnement pérenne de la structure ;</w:t>
      </w:r>
    </w:p>
    <w:p w14:paraId="473C1DBC" w14:textId="77777777" w:rsidR="00F53D91" w:rsidRDefault="00101582">
      <w:pPr>
        <w:pStyle w:val="Paragraphedeliste"/>
        <w:numPr>
          <w:ilvl w:val="0"/>
          <w:numId w:val="2"/>
        </w:numPr>
        <w:spacing w:after="80" w:line="276" w:lineRule="auto"/>
        <w:jc w:val="both"/>
      </w:pPr>
      <w:r>
        <w:t>respect de l’obligation d’emploi des travailleurs handicapés (articles L5212-1 à L5212-4 du Code du travail).</w:t>
      </w:r>
    </w:p>
    <w:p w14:paraId="684D871E" w14:textId="77777777" w:rsidR="00F53D91" w:rsidRDefault="00101582">
      <w:pPr>
        <w:spacing w:after="240" w:line="276" w:lineRule="auto"/>
        <w:jc w:val="both"/>
      </w:pPr>
      <w:r>
        <w:t>L’autorité délégante portera une appréciation globale de ces éléments afin de sélectionner les candidats admis à présenter une offre. Les candidatures incomplètes, irrecevables ou ne présentant pas les garanties suffisantes seront écartées.</w:t>
      </w:r>
    </w:p>
    <w:p w14:paraId="0145713B" w14:textId="77777777" w:rsidR="00F53D91" w:rsidRDefault="00101582">
      <w:pPr>
        <w:pStyle w:val="Titre1"/>
      </w:pPr>
      <w:r>
        <w:t>Article 10 – Nombre de candidats admis</w:t>
      </w:r>
    </w:p>
    <w:p w14:paraId="6015840D" w14:textId="77777777" w:rsidR="00F53D91" w:rsidRDefault="00101582">
      <w:pPr>
        <w:spacing w:after="240" w:line="276" w:lineRule="auto"/>
        <w:jc w:val="both"/>
      </w:pPr>
      <w:r>
        <w:t>La Ville d’Ostwald retiendra au maximum cinq (5) candidats admis à participer à la seconde phase, sous réserve d’un nombre suffisant de candidatures satisfaisant aux exigences. Si le nombre de candidatures recevables est supérieur à cinq, le classement s’opérera sur le fondement des critères énoncés à l’article 9.</w:t>
      </w:r>
    </w:p>
    <w:p w14:paraId="3477D997" w14:textId="77777777" w:rsidR="00F53D91" w:rsidRDefault="00101582">
      <w:pPr>
        <w:pStyle w:val="Titre1"/>
      </w:pPr>
      <w:r>
        <w:t>Article 11 – Modalités de remise des candidatures</w:t>
      </w:r>
    </w:p>
    <w:p w14:paraId="74E34640" w14:textId="77777777" w:rsidR="00F53D91" w:rsidRDefault="00101582">
      <w:pPr>
        <w:spacing w:after="120" w:line="276" w:lineRule="auto"/>
        <w:jc w:val="both"/>
      </w:pPr>
      <w:r>
        <w:t xml:space="preserve">Les candidatures sont déposées exclusivement sous format électronique, sur le profil acheteur : www.alsacemarchespublics.eu. Les candidatures transmises sur </w:t>
      </w:r>
      <w:proofErr w:type="gramStart"/>
      <w:r>
        <w:t>support papier</w:t>
      </w:r>
      <w:proofErr w:type="gramEnd"/>
      <w:r>
        <w:t xml:space="preserve"> ne sont pas acceptées.</w:t>
      </w:r>
    </w:p>
    <w:p w14:paraId="4E0B01A1" w14:textId="77777777" w:rsidR="00F53D91" w:rsidRDefault="00101582">
      <w:pPr>
        <w:spacing w:after="120" w:line="276" w:lineRule="auto"/>
        <w:jc w:val="both"/>
      </w:pPr>
      <w:r>
        <w:t>La signature électronique des documents n’est pas exigée au stade de la candidature ; elle pourra l’être, le cas échéant, lors de la phase « offres » ou au moment de la signature de la convention.</w:t>
      </w:r>
    </w:p>
    <w:p w14:paraId="174A6B69" w14:textId="77777777" w:rsidR="00F53D91" w:rsidRDefault="00101582">
      <w:pPr>
        <w:spacing w:after="120" w:line="276" w:lineRule="auto"/>
        <w:jc w:val="both"/>
      </w:pPr>
      <w:r>
        <w:rPr>
          <w:b/>
          <w:bCs/>
        </w:rPr>
        <w:t xml:space="preserve">Date et heure limites de réception des candidatures : </w:t>
      </w:r>
      <w:r>
        <w:rPr>
          <w:b/>
          <w:bCs/>
          <w:color w:val="1F4E79"/>
        </w:rPr>
        <w:t>lundi 6 juillet 2026 à 12h00.</w:t>
      </w:r>
    </w:p>
    <w:p w14:paraId="1D076088" w14:textId="77777777" w:rsidR="00F53D91" w:rsidRDefault="00101582">
      <w:pPr>
        <w:spacing w:after="240" w:line="276" w:lineRule="auto"/>
        <w:jc w:val="both"/>
      </w:pPr>
      <w:r>
        <w:rPr>
          <w:i/>
          <w:iCs/>
        </w:rPr>
        <w:t>Ce délai est de rigueur : toute candidature parvenue après cette échéance sera rejetée.</w:t>
      </w:r>
    </w:p>
    <w:p w14:paraId="3F0EFC86" w14:textId="77777777" w:rsidR="00F53D91" w:rsidRDefault="00101582">
      <w:pPr>
        <w:pStyle w:val="Titre1"/>
      </w:pPr>
      <w:r>
        <w:t>Article 12 – Questions et renseignements complémentaires</w:t>
      </w:r>
    </w:p>
    <w:p w14:paraId="3CFA8695" w14:textId="77777777" w:rsidR="00F53D91" w:rsidRDefault="00101582">
      <w:pPr>
        <w:spacing w:after="120" w:line="276" w:lineRule="auto"/>
        <w:jc w:val="both"/>
      </w:pPr>
      <w:r>
        <w:t>Les questions sont posées exclusivement via le profil acheteur, au plus tard le 24 juin 2026 à 12h00.</w:t>
      </w:r>
    </w:p>
    <w:p w14:paraId="7209DD2A" w14:textId="77777777" w:rsidR="00F53D91" w:rsidRDefault="00101582">
      <w:pPr>
        <w:spacing w:after="240" w:line="276" w:lineRule="auto"/>
        <w:jc w:val="both"/>
      </w:pPr>
      <w:r>
        <w:t>Les réponses seront apportées et mises en ligne au plus tard le 30 juin 2026.</w:t>
      </w:r>
    </w:p>
    <w:p w14:paraId="7F7688B1" w14:textId="77777777" w:rsidR="00F53D91" w:rsidRDefault="00101582">
      <w:pPr>
        <w:pStyle w:val="Titre1"/>
      </w:pPr>
      <w:r>
        <w:t>Article 13 – Calendrier prévisionnel de la phase 1</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5760"/>
        <w:gridCol w:w="3600"/>
      </w:tblGrid>
      <w:tr w:rsidR="00F53D91" w14:paraId="337ED5BA" w14:textId="77777777">
        <w:trPr>
          <w:tblHeader/>
        </w:trPr>
        <w:tc>
          <w:tcPr>
            <w:tcW w:w="5760" w:type="dxa"/>
            <w:tcBorders>
              <w:top w:val="single" w:sz="4" w:space="0" w:color="B7C6D9"/>
              <w:left w:val="single" w:sz="4" w:space="0" w:color="B7C6D9"/>
              <w:bottom w:val="single" w:sz="4" w:space="0" w:color="B7C6D9"/>
              <w:right w:val="single" w:sz="4" w:space="0" w:color="B7C6D9"/>
            </w:tcBorders>
            <w:shd w:val="clear" w:color="auto" w:fill="1F4E79"/>
            <w:tcMar>
              <w:top w:w="80" w:type="dxa"/>
              <w:left w:w="120" w:type="dxa"/>
              <w:bottom w:w="80" w:type="dxa"/>
              <w:right w:w="120" w:type="dxa"/>
            </w:tcMar>
          </w:tcPr>
          <w:p w14:paraId="0166F8FF" w14:textId="77777777" w:rsidR="00F53D91" w:rsidRDefault="00101582">
            <w:r>
              <w:rPr>
                <w:b/>
                <w:bCs/>
                <w:color w:val="FFFFFF"/>
              </w:rPr>
              <w:t>Étape</w:t>
            </w:r>
          </w:p>
        </w:tc>
        <w:tc>
          <w:tcPr>
            <w:tcW w:w="3600" w:type="dxa"/>
            <w:tcBorders>
              <w:top w:val="single" w:sz="4" w:space="0" w:color="B7C6D9"/>
              <w:left w:val="single" w:sz="4" w:space="0" w:color="B7C6D9"/>
              <w:bottom w:val="single" w:sz="4" w:space="0" w:color="B7C6D9"/>
              <w:right w:val="single" w:sz="4" w:space="0" w:color="B7C6D9"/>
            </w:tcBorders>
            <w:shd w:val="clear" w:color="auto" w:fill="1F4E79"/>
            <w:tcMar>
              <w:top w:w="80" w:type="dxa"/>
              <w:left w:w="120" w:type="dxa"/>
              <w:bottom w:w="80" w:type="dxa"/>
              <w:right w:w="120" w:type="dxa"/>
            </w:tcMar>
          </w:tcPr>
          <w:p w14:paraId="666B0A81" w14:textId="77777777" w:rsidR="00F53D91" w:rsidRDefault="00101582">
            <w:r>
              <w:rPr>
                <w:b/>
                <w:bCs/>
                <w:color w:val="FFFFFF"/>
              </w:rPr>
              <w:t>Date</w:t>
            </w:r>
          </w:p>
        </w:tc>
      </w:tr>
      <w:tr w:rsidR="00F53D91" w14:paraId="241E35F9" w14:textId="77777777">
        <w:tc>
          <w:tcPr>
            <w:tcW w:w="5760" w:type="dxa"/>
            <w:tcBorders>
              <w:top w:val="single" w:sz="4" w:space="0" w:color="B7C6D9"/>
              <w:left w:val="single" w:sz="4" w:space="0" w:color="B7C6D9"/>
              <w:bottom w:val="single" w:sz="4" w:space="0" w:color="B7C6D9"/>
              <w:right w:val="single" w:sz="4" w:space="0" w:color="B7C6D9"/>
            </w:tcBorders>
            <w:shd w:val="clear" w:color="auto" w:fill="EFF4FA"/>
            <w:tcMar>
              <w:top w:w="80" w:type="dxa"/>
              <w:left w:w="120" w:type="dxa"/>
              <w:bottom w:w="80" w:type="dxa"/>
              <w:right w:w="120" w:type="dxa"/>
            </w:tcMar>
          </w:tcPr>
          <w:p w14:paraId="23D9FDDD" w14:textId="77777777" w:rsidR="00F53D91" w:rsidRDefault="00101582">
            <w:r>
              <w:t>Publication de l’avis et du règlement de consultation</w:t>
            </w:r>
          </w:p>
        </w:tc>
        <w:tc>
          <w:tcPr>
            <w:tcW w:w="3600" w:type="dxa"/>
            <w:tcBorders>
              <w:top w:val="single" w:sz="4" w:space="0" w:color="B7C6D9"/>
              <w:left w:val="single" w:sz="4" w:space="0" w:color="B7C6D9"/>
              <w:bottom w:val="single" w:sz="4" w:space="0" w:color="B7C6D9"/>
              <w:right w:val="single" w:sz="4" w:space="0" w:color="B7C6D9"/>
            </w:tcBorders>
            <w:shd w:val="clear" w:color="auto" w:fill="EFF4FA"/>
            <w:tcMar>
              <w:top w:w="80" w:type="dxa"/>
              <w:left w:w="120" w:type="dxa"/>
              <w:bottom w:w="80" w:type="dxa"/>
              <w:right w:w="120" w:type="dxa"/>
            </w:tcMar>
          </w:tcPr>
          <w:p w14:paraId="7CECD116" w14:textId="4E9BD8DF" w:rsidR="00F53D91" w:rsidRDefault="004809DE">
            <w:r>
              <w:rPr>
                <w:b/>
                <w:bCs/>
              </w:rPr>
              <w:t>Vendred</w:t>
            </w:r>
            <w:r w:rsidR="00101582">
              <w:rPr>
                <w:b/>
                <w:bCs/>
              </w:rPr>
              <w:t xml:space="preserve">i </w:t>
            </w:r>
            <w:r>
              <w:rPr>
                <w:b/>
                <w:bCs/>
              </w:rPr>
              <w:t xml:space="preserve">5 </w:t>
            </w:r>
            <w:r w:rsidR="00101582">
              <w:rPr>
                <w:b/>
                <w:bCs/>
              </w:rPr>
              <w:t>juin 2026</w:t>
            </w:r>
          </w:p>
        </w:tc>
      </w:tr>
      <w:tr w:rsidR="00F53D91" w14:paraId="15D7F0DC" w14:textId="77777777">
        <w:tc>
          <w:tcPr>
            <w:tcW w:w="5760" w:type="dxa"/>
            <w:tcBorders>
              <w:top w:val="single" w:sz="4" w:space="0" w:color="B7C6D9"/>
              <w:left w:val="single" w:sz="4" w:space="0" w:color="B7C6D9"/>
              <w:bottom w:val="single" w:sz="4" w:space="0" w:color="B7C6D9"/>
              <w:right w:val="single" w:sz="4" w:space="0" w:color="B7C6D9"/>
            </w:tcBorders>
            <w:shd w:val="clear" w:color="auto" w:fill="FFFFFF"/>
            <w:tcMar>
              <w:top w:w="80" w:type="dxa"/>
              <w:left w:w="120" w:type="dxa"/>
              <w:bottom w:w="80" w:type="dxa"/>
              <w:right w:w="120" w:type="dxa"/>
            </w:tcMar>
          </w:tcPr>
          <w:p w14:paraId="36096A66" w14:textId="77777777" w:rsidR="00F53D91" w:rsidRDefault="00101582">
            <w:r>
              <w:t>Date limite de réception des questions</w:t>
            </w:r>
          </w:p>
        </w:tc>
        <w:tc>
          <w:tcPr>
            <w:tcW w:w="3600" w:type="dxa"/>
            <w:tcBorders>
              <w:top w:val="single" w:sz="4" w:space="0" w:color="B7C6D9"/>
              <w:left w:val="single" w:sz="4" w:space="0" w:color="B7C6D9"/>
              <w:bottom w:val="single" w:sz="4" w:space="0" w:color="B7C6D9"/>
              <w:right w:val="single" w:sz="4" w:space="0" w:color="B7C6D9"/>
            </w:tcBorders>
            <w:shd w:val="clear" w:color="auto" w:fill="FFFFFF"/>
            <w:tcMar>
              <w:top w:w="80" w:type="dxa"/>
              <w:left w:w="120" w:type="dxa"/>
              <w:bottom w:w="80" w:type="dxa"/>
              <w:right w:w="120" w:type="dxa"/>
            </w:tcMar>
          </w:tcPr>
          <w:p w14:paraId="224395D6" w14:textId="77777777" w:rsidR="00F53D91" w:rsidRDefault="00101582">
            <w:r>
              <w:rPr>
                <w:b/>
                <w:bCs/>
              </w:rPr>
              <w:t>Mercredi 24 juin 2026 – 12h00</w:t>
            </w:r>
          </w:p>
        </w:tc>
      </w:tr>
      <w:tr w:rsidR="00F53D91" w14:paraId="23BCF77D" w14:textId="77777777">
        <w:tc>
          <w:tcPr>
            <w:tcW w:w="5760" w:type="dxa"/>
            <w:tcBorders>
              <w:top w:val="single" w:sz="4" w:space="0" w:color="B7C6D9"/>
              <w:left w:val="single" w:sz="4" w:space="0" w:color="B7C6D9"/>
              <w:bottom w:val="single" w:sz="4" w:space="0" w:color="B7C6D9"/>
              <w:right w:val="single" w:sz="4" w:space="0" w:color="B7C6D9"/>
            </w:tcBorders>
            <w:shd w:val="clear" w:color="auto" w:fill="EFF4FA"/>
            <w:tcMar>
              <w:top w:w="80" w:type="dxa"/>
              <w:left w:w="120" w:type="dxa"/>
              <w:bottom w:w="80" w:type="dxa"/>
              <w:right w:w="120" w:type="dxa"/>
            </w:tcMar>
          </w:tcPr>
          <w:p w14:paraId="183FF1A7" w14:textId="77777777" w:rsidR="00F53D91" w:rsidRDefault="00101582">
            <w:r>
              <w:t>Mise en ligne des réponses</w:t>
            </w:r>
          </w:p>
        </w:tc>
        <w:tc>
          <w:tcPr>
            <w:tcW w:w="3600" w:type="dxa"/>
            <w:tcBorders>
              <w:top w:val="single" w:sz="4" w:space="0" w:color="B7C6D9"/>
              <w:left w:val="single" w:sz="4" w:space="0" w:color="B7C6D9"/>
              <w:bottom w:val="single" w:sz="4" w:space="0" w:color="B7C6D9"/>
              <w:right w:val="single" w:sz="4" w:space="0" w:color="B7C6D9"/>
            </w:tcBorders>
            <w:shd w:val="clear" w:color="auto" w:fill="EFF4FA"/>
            <w:tcMar>
              <w:top w:w="80" w:type="dxa"/>
              <w:left w:w="120" w:type="dxa"/>
              <w:bottom w:w="80" w:type="dxa"/>
              <w:right w:w="120" w:type="dxa"/>
            </w:tcMar>
          </w:tcPr>
          <w:p w14:paraId="68266351" w14:textId="77777777" w:rsidR="00F53D91" w:rsidRDefault="00101582">
            <w:r>
              <w:rPr>
                <w:b/>
                <w:bCs/>
              </w:rPr>
              <w:t>Mardi 30 juin 2026</w:t>
            </w:r>
          </w:p>
        </w:tc>
      </w:tr>
      <w:tr w:rsidR="00F53D91" w14:paraId="399099A6" w14:textId="77777777">
        <w:tc>
          <w:tcPr>
            <w:tcW w:w="5760" w:type="dxa"/>
            <w:tcBorders>
              <w:top w:val="single" w:sz="4" w:space="0" w:color="B7C6D9"/>
              <w:left w:val="single" w:sz="4" w:space="0" w:color="B7C6D9"/>
              <w:bottom w:val="single" w:sz="4" w:space="0" w:color="B7C6D9"/>
              <w:right w:val="single" w:sz="4" w:space="0" w:color="B7C6D9"/>
            </w:tcBorders>
            <w:shd w:val="clear" w:color="auto" w:fill="FFFFFF"/>
            <w:tcMar>
              <w:top w:w="80" w:type="dxa"/>
              <w:left w:w="120" w:type="dxa"/>
              <w:bottom w:w="80" w:type="dxa"/>
              <w:right w:w="120" w:type="dxa"/>
            </w:tcMar>
          </w:tcPr>
          <w:p w14:paraId="236F40D1" w14:textId="77777777" w:rsidR="00F53D91" w:rsidRDefault="00101582">
            <w:r>
              <w:t>Date limite de dépôt des candidatures</w:t>
            </w:r>
          </w:p>
        </w:tc>
        <w:tc>
          <w:tcPr>
            <w:tcW w:w="3600" w:type="dxa"/>
            <w:tcBorders>
              <w:top w:val="single" w:sz="4" w:space="0" w:color="B7C6D9"/>
              <w:left w:val="single" w:sz="4" w:space="0" w:color="B7C6D9"/>
              <w:bottom w:val="single" w:sz="4" w:space="0" w:color="B7C6D9"/>
              <w:right w:val="single" w:sz="4" w:space="0" w:color="B7C6D9"/>
            </w:tcBorders>
            <w:shd w:val="clear" w:color="auto" w:fill="FFFFFF"/>
            <w:tcMar>
              <w:top w:w="80" w:type="dxa"/>
              <w:left w:w="120" w:type="dxa"/>
              <w:bottom w:w="80" w:type="dxa"/>
              <w:right w:w="120" w:type="dxa"/>
            </w:tcMar>
          </w:tcPr>
          <w:p w14:paraId="7E16538F" w14:textId="77777777" w:rsidR="00F53D91" w:rsidRDefault="00101582">
            <w:r>
              <w:rPr>
                <w:b/>
                <w:bCs/>
              </w:rPr>
              <w:t>Lundi 6 juillet 2026 – 12h00</w:t>
            </w:r>
          </w:p>
        </w:tc>
      </w:tr>
      <w:tr w:rsidR="00F53D91" w14:paraId="61D4D391" w14:textId="77777777">
        <w:tc>
          <w:tcPr>
            <w:tcW w:w="5760" w:type="dxa"/>
            <w:tcBorders>
              <w:top w:val="single" w:sz="4" w:space="0" w:color="B7C6D9"/>
              <w:left w:val="single" w:sz="4" w:space="0" w:color="B7C6D9"/>
              <w:bottom w:val="single" w:sz="4" w:space="0" w:color="B7C6D9"/>
              <w:right w:val="single" w:sz="4" w:space="0" w:color="B7C6D9"/>
            </w:tcBorders>
            <w:shd w:val="clear" w:color="auto" w:fill="EFF4FA"/>
            <w:tcMar>
              <w:top w:w="80" w:type="dxa"/>
              <w:left w:w="120" w:type="dxa"/>
              <w:bottom w:w="80" w:type="dxa"/>
              <w:right w:w="120" w:type="dxa"/>
            </w:tcMar>
          </w:tcPr>
          <w:p w14:paraId="7B634327" w14:textId="77777777" w:rsidR="00F53D91" w:rsidRDefault="00101582">
            <w:r>
              <w:lastRenderedPageBreak/>
              <w:t>Analyse des candidatures</w:t>
            </w:r>
          </w:p>
        </w:tc>
        <w:tc>
          <w:tcPr>
            <w:tcW w:w="3600" w:type="dxa"/>
            <w:tcBorders>
              <w:top w:val="single" w:sz="4" w:space="0" w:color="B7C6D9"/>
              <w:left w:val="single" w:sz="4" w:space="0" w:color="B7C6D9"/>
              <w:bottom w:val="single" w:sz="4" w:space="0" w:color="B7C6D9"/>
              <w:right w:val="single" w:sz="4" w:space="0" w:color="B7C6D9"/>
            </w:tcBorders>
            <w:shd w:val="clear" w:color="auto" w:fill="EFF4FA"/>
            <w:tcMar>
              <w:top w:w="80" w:type="dxa"/>
              <w:left w:w="120" w:type="dxa"/>
              <w:bottom w:w="80" w:type="dxa"/>
              <w:right w:w="120" w:type="dxa"/>
            </w:tcMar>
          </w:tcPr>
          <w:p w14:paraId="2A1424CF" w14:textId="77777777" w:rsidR="00F53D91" w:rsidRDefault="00101582">
            <w:r>
              <w:rPr>
                <w:b/>
                <w:bCs/>
              </w:rPr>
              <w:t>Semaine du 6 au 10 juillet 2026</w:t>
            </w:r>
          </w:p>
        </w:tc>
      </w:tr>
      <w:tr w:rsidR="00F53D91" w14:paraId="7D4035A1" w14:textId="77777777">
        <w:tc>
          <w:tcPr>
            <w:tcW w:w="5760" w:type="dxa"/>
            <w:tcBorders>
              <w:top w:val="single" w:sz="4" w:space="0" w:color="B7C6D9"/>
              <w:left w:val="single" w:sz="4" w:space="0" w:color="B7C6D9"/>
              <w:bottom w:val="single" w:sz="4" w:space="0" w:color="B7C6D9"/>
              <w:right w:val="single" w:sz="4" w:space="0" w:color="B7C6D9"/>
            </w:tcBorders>
            <w:shd w:val="clear" w:color="auto" w:fill="FFFFFF"/>
            <w:tcMar>
              <w:top w:w="80" w:type="dxa"/>
              <w:left w:w="120" w:type="dxa"/>
              <w:bottom w:w="80" w:type="dxa"/>
              <w:right w:w="120" w:type="dxa"/>
            </w:tcMar>
          </w:tcPr>
          <w:p w14:paraId="3CC54E9F" w14:textId="77777777" w:rsidR="00F53D91" w:rsidRDefault="00101582">
            <w:r>
              <w:t>Commission DSP – sélection des candidats admis</w:t>
            </w:r>
          </w:p>
        </w:tc>
        <w:tc>
          <w:tcPr>
            <w:tcW w:w="3600" w:type="dxa"/>
            <w:tcBorders>
              <w:top w:val="single" w:sz="4" w:space="0" w:color="B7C6D9"/>
              <w:left w:val="single" w:sz="4" w:space="0" w:color="B7C6D9"/>
              <w:bottom w:val="single" w:sz="4" w:space="0" w:color="B7C6D9"/>
              <w:right w:val="single" w:sz="4" w:space="0" w:color="B7C6D9"/>
            </w:tcBorders>
            <w:shd w:val="clear" w:color="auto" w:fill="FFFFFF"/>
            <w:tcMar>
              <w:top w:w="80" w:type="dxa"/>
              <w:left w:w="120" w:type="dxa"/>
              <w:bottom w:w="80" w:type="dxa"/>
              <w:right w:w="120" w:type="dxa"/>
            </w:tcMar>
          </w:tcPr>
          <w:p w14:paraId="786607A5" w14:textId="77777777" w:rsidR="00F53D91" w:rsidRDefault="00101582">
            <w:r>
              <w:rPr>
                <w:b/>
                <w:bCs/>
              </w:rPr>
              <w:t>Vendredi 10 juillet 2026</w:t>
            </w:r>
          </w:p>
        </w:tc>
      </w:tr>
      <w:tr w:rsidR="00F53D91" w14:paraId="0D408339" w14:textId="77777777">
        <w:tc>
          <w:tcPr>
            <w:tcW w:w="5760" w:type="dxa"/>
            <w:tcBorders>
              <w:top w:val="single" w:sz="4" w:space="0" w:color="B7C6D9"/>
              <w:left w:val="single" w:sz="4" w:space="0" w:color="B7C6D9"/>
              <w:bottom w:val="single" w:sz="4" w:space="0" w:color="B7C6D9"/>
              <w:right w:val="single" w:sz="4" w:space="0" w:color="B7C6D9"/>
            </w:tcBorders>
            <w:shd w:val="clear" w:color="auto" w:fill="EFF4FA"/>
            <w:tcMar>
              <w:top w:w="80" w:type="dxa"/>
              <w:left w:w="120" w:type="dxa"/>
              <w:bottom w:w="80" w:type="dxa"/>
              <w:right w:w="120" w:type="dxa"/>
            </w:tcMar>
          </w:tcPr>
          <w:p w14:paraId="235668E3" w14:textId="77777777" w:rsidR="00F53D91" w:rsidRDefault="00101582">
            <w:r>
              <w:t>Envoi du dossier aux candidats retenus</w:t>
            </w:r>
          </w:p>
        </w:tc>
        <w:tc>
          <w:tcPr>
            <w:tcW w:w="3600" w:type="dxa"/>
            <w:tcBorders>
              <w:top w:val="single" w:sz="4" w:space="0" w:color="B7C6D9"/>
              <w:left w:val="single" w:sz="4" w:space="0" w:color="B7C6D9"/>
              <w:bottom w:val="single" w:sz="4" w:space="0" w:color="B7C6D9"/>
              <w:right w:val="single" w:sz="4" w:space="0" w:color="B7C6D9"/>
            </w:tcBorders>
            <w:shd w:val="clear" w:color="auto" w:fill="EFF4FA"/>
            <w:tcMar>
              <w:top w:w="80" w:type="dxa"/>
              <w:left w:w="120" w:type="dxa"/>
              <w:bottom w:w="80" w:type="dxa"/>
              <w:right w:w="120" w:type="dxa"/>
            </w:tcMar>
          </w:tcPr>
          <w:p w14:paraId="450288A2" w14:textId="77777777" w:rsidR="00F53D91" w:rsidRDefault="00101582">
            <w:r>
              <w:rPr>
                <w:b/>
                <w:bCs/>
              </w:rPr>
              <w:t>Lundi 13 juillet 2026</w:t>
            </w:r>
          </w:p>
        </w:tc>
      </w:tr>
    </w:tbl>
    <w:p w14:paraId="7EF6E969" w14:textId="77777777" w:rsidR="00F53D91" w:rsidRDefault="00101582">
      <w:pPr>
        <w:spacing w:before="120" w:after="240"/>
      </w:pPr>
      <w:r>
        <w:rPr>
          <w:i/>
          <w:iCs/>
          <w:color w:val="808080"/>
          <w:sz w:val="18"/>
          <w:szCs w:val="18"/>
        </w:rPr>
        <w:t>Les dates ultérieures (visite du site, remise des offres, négociation, attribution) figureront dans le règlement de consultation de la phase « offres ». Ce calendrier est donné à titre prévisionnel et peut être adapté par l’autorité délégante.</w:t>
      </w:r>
    </w:p>
    <w:p w14:paraId="61655AD4" w14:textId="77777777" w:rsidR="00F53D91" w:rsidRDefault="00101582">
      <w:pPr>
        <w:pStyle w:val="Titre1"/>
      </w:pPr>
      <w:r>
        <w:t>Article 14 – Confidentialité et protection des données personnelles</w:t>
      </w:r>
    </w:p>
    <w:p w14:paraId="085A5042" w14:textId="77777777" w:rsidR="00F53D91" w:rsidRDefault="00101582">
      <w:pPr>
        <w:spacing w:after="120" w:line="276" w:lineRule="auto"/>
        <w:jc w:val="both"/>
      </w:pPr>
      <w:r>
        <w:t>Les informations transmises par les candidats sont traitées de manière confidentielle, conformément aux règles applicables aux contrats de concession.</w:t>
      </w:r>
    </w:p>
    <w:p w14:paraId="0BC5B445" w14:textId="77777777" w:rsidR="00F53D91" w:rsidRDefault="00101582">
      <w:pPr>
        <w:spacing w:after="240" w:line="276" w:lineRule="auto"/>
        <w:jc w:val="both"/>
      </w:pPr>
      <w:r>
        <w:t>Les données à caractère personnel recueillies dans le cadre de la présente procédure sont traitées par la Ville d’Ostwald, responsable de traitement, aux seules fins de l’instruction des candidatures, conformément au Règlement (UE) 2016/679 (RGPD) et à la loi n° 78-17 du 6 janvier 1978 modifiée. Les candidats disposent d’un droit d’accès, de rectification et d’effacement de leurs données, qu’ils peuvent exercer auprès du service indiqué à l’article 2.1.</w:t>
      </w:r>
    </w:p>
    <w:p w14:paraId="3AA168B3" w14:textId="77777777" w:rsidR="00F53D91" w:rsidRDefault="00101582">
      <w:pPr>
        <w:pStyle w:val="Titre1"/>
      </w:pPr>
      <w:r>
        <w:t>Article 15 – Instance chargée des procédures de recours</w:t>
      </w:r>
    </w:p>
    <w:p w14:paraId="5D3A6641" w14:textId="77777777" w:rsidR="00F53D91" w:rsidRDefault="00101582">
      <w:pPr>
        <w:spacing w:after="120" w:line="276" w:lineRule="auto"/>
        <w:jc w:val="both"/>
      </w:pPr>
      <w:r>
        <w:t>L’instance chargée des procédures de recours est le Tribunal administratif de Strasbourg – 31, avenue de la Paix – BP 51038 – 67070 STRASBOURG Cedex (téléphone : 03 88 21 23 23 – télécopie : 03 88 36 44 66 – courriel : greffe.ta-strasbourg@juradm.fr).</w:t>
      </w:r>
    </w:p>
    <w:p w14:paraId="2471B38A" w14:textId="77777777" w:rsidR="00F53D91" w:rsidRDefault="00101582">
      <w:pPr>
        <w:spacing w:after="240" w:line="276" w:lineRule="auto"/>
        <w:jc w:val="both"/>
      </w:pPr>
      <w:r>
        <w:t>Les candidats peuvent notamment exercer, avant la signature du contrat, un référé précontractuel dans les conditions prévues aux articles L551-1 et suivants du Code de justice administrative.</w:t>
      </w:r>
    </w:p>
    <w:p w14:paraId="39018C80" w14:textId="77777777" w:rsidR="00F53D91" w:rsidRDefault="00101582">
      <w:pPr>
        <w:pStyle w:val="Titre1"/>
      </w:pPr>
      <w:r>
        <w:t>Article 16 – Engagement du candidat</w:t>
      </w:r>
    </w:p>
    <w:p w14:paraId="0B77DC66" w14:textId="77777777" w:rsidR="00F53D91" w:rsidRDefault="00101582">
      <w:pPr>
        <w:spacing w:after="120" w:line="276" w:lineRule="auto"/>
        <w:jc w:val="both"/>
      </w:pPr>
      <w:r>
        <w:t>La participation à la présente procédure implique l’acceptation sans réserve du présent règlement de consultation. Les candidats restent engagés par leur candidature pendant toute la durée de la phase de sélection.</w:t>
      </w:r>
    </w:p>
    <w:sectPr w:rsidR="00F53D91">
      <w:headerReference w:type="default" r:id="rId8"/>
      <w:footerReference w:type="default" r:id="rId9"/>
      <w:pgSz w:w="11906" w:h="16838"/>
      <w:pgMar w:top="1440" w:right="1418" w:bottom="1440" w:left="1418"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7C6CF0" w14:textId="77777777" w:rsidR="003E70A5" w:rsidRDefault="003E70A5">
      <w:r>
        <w:separator/>
      </w:r>
    </w:p>
  </w:endnote>
  <w:endnote w:type="continuationSeparator" w:id="0">
    <w:p w14:paraId="06098796" w14:textId="77777777" w:rsidR="003E70A5" w:rsidRDefault="003E70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73FE9F" w14:textId="77777777" w:rsidR="00F53D91" w:rsidRDefault="00101582">
    <w:pPr>
      <w:pBdr>
        <w:top w:val="single" w:sz="4" w:space="2" w:color="B7C6D9"/>
      </w:pBdr>
      <w:jc w:val="center"/>
    </w:pPr>
    <w:r>
      <w:rPr>
        <w:color w:val="808080"/>
        <w:sz w:val="16"/>
        <w:szCs w:val="16"/>
      </w:rPr>
      <w:t xml:space="preserve">Page </w:t>
    </w:r>
    <w:r>
      <w:rPr>
        <w:color w:val="808080"/>
        <w:sz w:val="16"/>
        <w:szCs w:val="16"/>
      </w:rPr>
      <w:fldChar w:fldCharType="begin"/>
    </w:r>
    <w:r>
      <w:rPr>
        <w:color w:val="808080"/>
        <w:sz w:val="16"/>
        <w:szCs w:val="16"/>
      </w:rPr>
      <w:instrText>PAGE</w:instrText>
    </w:r>
    <w:r>
      <w:rPr>
        <w:color w:val="808080"/>
        <w:sz w:val="16"/>
        <w:szCs w:val="16"/>
      </w:rPr>
      <w:fldChar w:fldCharType="separate"/>
    </w:r>
    <w:r w:rsidR="00A81823">
      <w:rPr>
        <w:noProof/>
        <w:color w:val="808080"/>
        <w:sz w:val="16"/>
        <w:szCs w:val="16"/>
      </w:rPr>
      <w:t>1</w:t>
    </w:r>
    <w:r>
      <w:rPr>
        <w:color w:val="808080"/>
        <w:sz w:val="16"/>
        <w:szCs w:val="16"/>
      </w:rPr>
      <w:fldChar w:fldCharType="end"/>
    </w:r>
    <w:r>
      <w:rPr>
        <w:color w:val="808080"/>
        <w:sz w:val="16"/>
        <w:szCs w:val="16"/>
      </w:rPr>
      <w:t xml:space="preserve"> / </w:t>
    </w:r>
    <w:r>
      <w:rPr>
        <w:color w:val="808080"/>
        <w:sz w:val="16"/>
        <w:szCs w:val="16"/>
      </w:rPr>
      <w:fldChar w:fldCharType="begin"/>
    </w:r>
    <w:r>
      <w:rPr>
        <w:color w:val="808080"/>
        <w:sz w:val="16"/>
        <w:szCs w:val="16"/>
      </w:rPr>
      <w:instrText>NUMPAGES</w:instrText>
    </w:r>
    <w:r>
      <w:rPr>
        <w:color w:val="808080"/>
        <w:sz w:val="16"/>
        <w:szCs w:val="16"/>
      </w:rPr>
      <w:fldChar w:fldCharType="separate"/>
    </w:r>
    <w:r w:rsidR="00A81823">
      <w:rPr>
        <w:noProof/>
        <w:color w:val="808080"/>
        <w:sz w:val="16"/>
        <w:szCs w:val="16"/>
      </w:rPr>
      <w:t>2</w:t>
    </w:r>
    <w:r>
      <w:rPr>
        <w:color w:val="808080"/>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165D34" w14:textId="77777777" w:rsidR="003E70A5" w:rsidRDefault="003E70A5">
      <w:r>
        <w:separator/>
      </w:r>
    </w:p>
  </w:footnote>
  <w:footnote w:type="continuationSeparator" w:id="0">
    <w:p w14:paraId="5E5DA36A" w14:textId="77777777" w:rsidR="003E70A5" w:rsidRDefault="003E70A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F3ACDE" w14:textId="77777777" w:rsidR="00F53D91" w:rsidRDefault="00101582">
    <w:pPr>
      <w:pBdr>
        <w:bottom w:val="single" w:sz="4" w:space="2" w:color="B7C6D9"/>
      </w:pBdr>
      <w:jc w:val="right"/>
    </w:pPr>
    <w:r>
      <w:rPr>
        <w:color w:val="808080"/>
        <w:sz w:val="16"/>
        <w:szCs w:val="16"/>
      </w:rPr>
      <w:t>Ville d’Ostwald – DSP Multi-accueil « Les Rives du Bohrie » – RC Phase 1 (candidatures)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82A1F43"/>
    <w:multiLevelType w:val="hybridMultilevel"/>
    <w:tmpl w:val="E7AE97FE"/>
    <w:lvl w:ilvl="0" w:tplc="6C6AA728">
      <w:start w:val="1"/>
      <w:numFmt w:val="decimal"/>
      <w:lvlText w:val="%1."/>
      <w:lvlJc w:val="left"/>
      <w:pPr>
        <w:ind w:left="600" w:hanging="280"/>
      </w:pPr>
    </w:lvl>
    <w:lvl w:ilvl="1" w:tplc="5824C5D6">
      <w:numFmt w:val="decimal"/>
      <w:lvlText w:val=""/>
      <w:lvlJc w:val="left"/>
    </w:lvl>
    <w:lvl w:ilvl="2" w:tplc="5EC05190">
      <w:numFmt w:val="decimal"/>
      <w:lvlText w:val=""/>
      <w:lvlJc w:val="left"/>
    </w:lvl>
    <w:lvl w:ilvl="3" w:tplc="5C3866D6">
      <w:numFmt w:val="decimal"/>
      <w:lvlText w:val=""/>
      <w:lvlJc w:val="left"/>
    </w:lvl>
    <w:lvl w:ilvl="4" w:tplc="7E8A0986">
      <w:numFmt w:val="decimal"/>
      <w:lvlText w:val=""/>
      <w:lvlJc w:val="left"/>
    </w:lvl>
    <w:lvl w:ilvl="5" w:tplc="CA0EFAFC">
      <w:numFmt w:val="decimal"/>
      <w:lvlText w:val=""/>
      <w:lvlJc w:val="left"/>
    </w:lvl>
    <w:lvl w:ilvl="6" w:tplc="3F004A4A">
      <w:numFmt w:val="decimal"/>
      <w:lvlText w:val=""/>
      <w:lvlJc w:val="left"/>
    </w:lvl>
    <w:lvl w:ilvl="7" w:tplc="63981F80">
      <w:numFmt w:val="decimal"/>
      <w:lvlText w:val=""/>
      <w:lvlJc w:val="left"/>
    </w:lvl>
    <w:lvl w:ilvl="8" w:tplc="C75C9CC8">
      <w:numFmt w:val="decimal"/>
      <w:lvlText w:val=""/>
      <w:lvlJc w:val="left"/>
    </w:lvl>
  </w:abstractNum>
  <w:abstractNum w:abstractNumId="1" w15:restartNumberingAfterBreak="0">
    <w:nsid w:val="29722EE7"/>
    <w:multiLevelType w:val="hybridMultilevel"/>
    <w:tmpl w:val="31D06B9C"/>
    <w:lvl w:ilvl="0" w:tplc="DBE208F4">
      <w:start w:val="1"/>
      <w:numFmt w:val="bullet"/>
      <w:lvlText w:val="•"/>
      <w:lvlJc w:val="left"/>
      <w:pPr>
        <w:ind w:left="600" w:hanging="280"/>
      </w:pPr>
    </w:lvl>
    <w:lvl w:ilvl="1" w:tplc="E3AE24C0">
      <w:numFmt w:val="decimal"/>
      <w:lvlText w:val=""/>
      <w:lvlJc w:val="left"/>
    </w:lvl>
    <w:lvl w:ilvl="2" w:tplc="4A16C670">
      <w:numFmt w:val="decimal"/>
      <w:lvlText w:val=""/>
      <w:lvlJc w:val="left"/>
    </w:lvl>
    <w:lvl w:ilvl="3" w:tplc="52EED970">
      <w:numFmt w:val="decimal"/>
      <w:lvlText w:val=""/>
      <w:lvlJc w:val="left"/>
    </w:lvl>
    <w:lvl w:ilvl="4" w:tplc="2BACC4EE">
      <w:numFmt w:val="decimal"/>
      <w:lvlText w:val=""/>
      <w:lvlJc w:val="left"/>
    </w:lvl>
    <w:lvl w:ilvl="5" w:tplc="5E58B156">
      <w:numFmt w:val="decimal"/>
      <w:lvlText w:val=""/>
      <w:lvlJc w:val="left"/>
    </w:lvl>
    <w:lvl w:ilvl="6" w:tplc="E110ADA4">
      <w:numFmt w:val="decimal"/>
      <w:lvlText w:val=""/>
      <w:lvlJc w:val="left"/>
    </w:lvl>
    <w:lvl w:ilvl="7" w:tplc="2110B3D4">
      <w:numFmt w:val="decimal"/>
      <w:lvlText w:val=""/>
      <w:lvlJc w:val="left"/>
    </w:lvl>
    <w:lvl w:ilvl="8" w:tplc="550E6EF4">
      <w:numFmt w:val="decimal"/>
      <w:lvlText w:val=""/>
      <w:lvlJc w:val="left"/>
    </w:lvl>
  </w:abstractNum>
  <w:abstractNum w:abstractNumId="2" w15:restartNumberingAfterBreak="0">
    <w:nsid w:val="4ABD6BC9"/>
    <w:multiLevelType w:val="hybridMultilevel"/>
    <w:tmpl w:val="9E220904"/>
    <w:lvl w:ilvl="0" w:tplc="591A8F0A">
      <w:start w:val="1"/>
      <w:numFmt w:val="bullet"/>
      <w:lvlText w:val="●"/>
      <w:lvlJc w:val="left"/>
      <w:pPr>
        <w:ind w:left="720" w:hanging="360"/>
      </w:pPr>
    </w:lvl>
    <w:lvl w:ilvl="1" w:tplc="026AE886">
      <w:start w:val="1"/>
      <w:numFmt w:val="bullet"/>
      <w:lvlText w:val="○"/>
      <w:lvlJc w:val="left"/>
      <w:pPr>
        <w:ind w:left="1440" w:hanging="360"/>
      </w:pPr>
    </w:lvl>
    <w:lvl w:ilvl="2" w:tplc="F618769C">
      <w:start w:val="1"/>
      <w:numFmt w:val="bullet"/>
      <w:lvlText w:val="■"/>
      <w:lvlJc w:val="left"/>
      <w:pPr>
        <w:ind w:left="2160" w:hanging="360"/>
      </w:pPr>
    </w:lvl>
    <w:lvl w:ilvl="3" w:tplc="AFE2E152">
      <w:start w:val="1"/>
      <w:numFmt w:val="bullet"/>
      <w:lvlText w:val="●"/>
      <w:lvlJc w:val="left"/>
      <w:pPr>
        <w:ind w:left="2880" w:hanging="360"/>
      </w:pPr>
    </w:lvl>
    <w:lvl w:ilvl="4" w:tplc="AA32CAA2">
      <w:start w:val="1"/>
      <w:numFmt w:val="bullet"/>
      <w:lvlText w:val="○"/>
      <w:lvlJc w:val="left"/>
      <w:pPr>
        <w:ind w:left="3600" w:hanging="360"/>
      </w:pPr>
    </w:lvl>
    <w:lvl w:ilvl="5" w:tplc="30A239D2">
      <w:start w:val="1"/>
      <w:numFmt w:val="bullet"/>
      <w:lvlText w:val="■"/>
      <w:lvlJc w:val="left"/>
      <w:pPr>
        <w:ind w:left="4320" w:hanging="360"/>
      </w:pPr>
    </w:lvl>
    <w:lvl w:ilvl="6" w:tplc="8808084C">
      <w:start w:val="1"/>
      <w:numFmt w:val="bullet"/>
      <w:lvlText w:val="●"/>
      <w:lvlJc w:val="left"/>
      <w:pPr>
        <w:ind w:left="5040" w:hanging="360"/>
      </w:pPr>
    </w:lvl>
    <w:lvl w:ilvl="7" w:tplc="878A57C8">
      <w:start w:val="1"/>
      <w:numFmt w:val="bullet"/>
      <w:lvlText w:val="●"/>
      <w:lvlJc w:val="left"/>
      <w:pPr>
        <w:ind w:left="5760" w:hanging="360"/>
      </w:pPr>
    </w:lvl>
    <w:lvl w:ilvl="8" w:tplc="19CE79EE">
      <w:start w:val="1"/>
      <w:numFmt w:val="bullet"/>
      <w:lvlText w:val="●"/>
      <w:lvlJc w:val="left"/>
      <w:pPr>
        <w:ind w:left="6480" w:hanging="360"/>
      </w:pPr>
    </w:lvl>
  </w:abstractNum>
  <w:num w:numId="1" w16cid:durableId="1169756725">
    <w:abstractNumId w:val="2"/>
    <w:lvlOverride w:ilvl="0">
      <w:startOverride w:val="1"/>
    </w:lvlOverride>
  </w:num>
  <w:num w:numId="2" w16cid:durableId="1615596083">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3D91"/>
    <w:rsid w:val="00094185"/>
    <w:rsid w:val="000A5D11"/>
    <w:rsid w:val="000D4E00"/>
    <w:rsid w:val="00101582"/>
    <w:rsid w:val="003849AA"/>
    <w:rsid w:val="003E70A5"/>
    <w:rsid w:val="004809DE"/>
    <w:rsid w:val="004C7169"/>
    <w:rsid w:val="00677EB2"/>
    <w:rsid w:val="0085382C"/>
    <w:rsid w:val="008C149A"/>
    <w:rsid w:val="00A81823"/>
    <w:rsid w:val="00AF6690"/>
    <w:rsid w:val="00CC1DD6"/>
    <w:rsid w:val="00D621ED"/>
    <w:rsid w:val="00F53D91"/>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37603E"/>
  <w15:docId w15:val="{EAAD1D33-CE6C-4E19-A483-7601C58E4D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fr-FR" w:eastAsia="fr-F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re1">
    <w:name w:val="heading 1"/>
    <w:uiPriority w:val="9"/>
    <w:qFormat/>
    <w:pPr>
      <w:pBdr>
        <w:bottom w:val="single" w:sz="6" w:space="4" w:color="2E75B6"/>
      </w:pBdr>
      <w:spacing w:before="280" w:after="140"/>
      <w:outlineLvl w:val="0"/>
    </w:pPr>
    <w:rPr>
      <w:b/>
      <w:bCs/>
      <w:color w:val="1F4E79"/>
      <w:sz w:val="26"/>
      <w:szCs w:val="26"/>
    </w:rPr>
  </w:style>
  <w:style w:type="paragraph" w:styleId="Titre2">
    <w:name w:val="heading 2"/>
    <w:uiPriority w:val="9"/>
    <w:unhideWhenUsed/>
    <w:qFormat/>
    <w:pPr>
      <w:spacing w:before="160" w:after="100"/>
      <w:outlineLvl w:val="1"/>
    </w:pPr>
    <w:rPr>
      <w:b/>
      <w:bCs/>
      <w:color w:val="2E5496"/>
      <w:sz w:val="23"/>
      <w:szCs w:val="23"/>
    </w:rPr>
  </w:style>
  <w:style w:type="paragraph" w:styleId="Titre3">
    <w:name w:val="heading 3"/>
    <w:uiPriority w:val="9"/>
    <w:semiHidden/>
    <w:unhideWhenUsed/>
    <w:qFormat/>
    <w:pPr>
      <w:outlineLvl w:val="2"/>
    </w:pPr>
    <w:rPr>
      <w:color w:val="1F4D78"/>
      <w:sz w:val="24"/>
      <w:szCs w:val="24"/>
    </w:rPr>
  </w:style>
  <w:style w:type="paragraph" w:styleId="Titre4">
    <w:name w:val="heading 4"/>
    <w:uiPriority w:val="9"/>
    <w:semiHidden/>
    <w:unhideWhenUsed/>
    <w:qFormat/>
    <w:pPr>
      <w:outlineLvl w:val="3"/>
    </w:pPr>
    <w:rPr>
      <w:i/>
      <w:iCs/>
      <w:color w:val="2E74B5"/>
    </w:rPr>
  </w:style>
  <w:style w:type="paragraph" w:styleId="Titre5">
    <w:name w:val="heading 5"/>
    <w:uiPriority w:val="9"/>
    <w:semiHidden/>
    <w:unhideWhenUsed/>
    <w:qFormat/>
    <w:pPr>
      <w:outlineLvl w:val="4"/>
    </w:pPr>
    <w:rPr>
      <w:color w:val="2E74B5"/>
    </w:rPr>
  </w:style>
  <w:style w:type="paragraph" w:styleId="Titre6">
    <w:name w:val="heading 6"/>
    <w:uiPriority w:val="9"/>
    <w:semiHidden/>
    <w:unhideWhenUsed/>
    <w:qFormat/>
    <w:pPr>
      <w:outlineLvl w:val="5"/>
    </w:pPr>
    <w:rPr>
      <w:color w:val="1F4D78"/>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Titre">
    <w:name w:val="Title"/>
    <w:uiPriority w:val="10"/>
    <w:qFormat/>
    <w:rPr>
      <w:sz w:val="56"/>
      <w:szCs w:val="56"/>
    </w:rPr>
  </w:style>
  <w:style w:type="paragraph" w:customStyle="1" w:styleId="lev1">
    <w:name w:val="Élevé1"/>
    <w:qFormat/>
    <w:rPr>
      <w:b/>
      <w:bCs/>
    </w:rPr>
  </w:style>
  <w:style w:type="paragraph" w:styleId="Paragraphedeliste">
    <w:name w:val="List Paragraph"/>
    <w:qFormat/>
  </w:style>
  <w:style w:type="character" w:styleId="Lienhypertexte">
    <w:name w:val="Hyperlink"/>
    <w:uiPriority w:val="99"/>
    <w:unhideWhenUsed/>
    <w:rPr>
      <w:color w:val="0563C1"/>
      <w:u w:val="single"/>
    </w:rPr>
  </w:style>
  <w:style w:type="character" w:styleId="Appelnotedebasdep">
    <w:name w:val="footnote reference"/>
    <w:uiPriority w:val="99"/>
    <w:semiHidden/>
    <w:unhideWhenUsed/>
    <w:rPr>
      <w:vertAlign w:val="superscript"/>
    </w:rPr>
  </w:style>
  <w:style w:type="paragraph" w:styleId="Notedebasdepage">
    <w:name w:val="footnote text"/>
    <w:link w:val="NotedebasdepageCar"/>
    <w:uiPriority w:val="99"/>
    <w:semiHidden/>
    <w:unhideWhenUsed/>
    <w:rPr>
      <w:sz w:val="20"/>
      <w:szCs w:val="20"/>
    </w:rPr>
  </w:style>
  <w:style w:type="character" w:customStyle="1" w:styleId="NotedebasdepageCar">
    <w:name w:val="Note de bas de page Car"/>
    <w:link w:val="Notedebasdepage"/>
    <w:uiPriority w:val="99"/>
    <w:semiHidden/>
    <w:unhideWhenUsed/>
    <w:rPr>
      <w:sz w:val="20"/>
      <w:szCs w:val="20"/>
    </w:rPr>
  </w:style>
  <w:style w:type="character" w:styleId="Appeldenotedefin">
    <w:name w:val="endnote reference"/>
    <w:uiPriority w:val="99"/>
    <w:semiHidden/>
    <w:unhideWhenUsed/>
    <w:rPr>
      <w:vertAlign w:val="superscript"/>
    </w:rPr>
  </w:style>
  <w:style w:type="paragraph" w:styleId="Notedefin">
    <w:name w:val="endnote text"/>
    <w:link w:val="NotedefinCar"/>
    <w:uiPriority w:val="99"/>
    <w:semiHidden/>
    <w:unhideWhenUsed/>
    <w:rPr>
      <w:sz w:val="20"/>
      <w:szCs w:val="20"/>
    </w:rPr>
  </w:style>
  <w:style w:type="character" w:customStyle="1" w:styleId="NotedefinCar">
    <w:name w:val="Note de fin Car"/>
    <w:link w:val="Notedefin"/>
    <w:uiPriority w:val="99"/>
    <w:semiHidden/>
    <w:unhideWhenUsed/>
    <w:rPr>
      <w:sz w:val="20"/>
      <w:szCs w:val="20"/>
    </w:rPr>
  </w:style>
  <w:style w:type="paragraph" w:styleId="NormalWeb">
    <w:name w:val="Normal (Web)"/>
    <w:basedOn w:val="Normal"/>
    <w:uiPriority w:val="99"/>
    <w:semiHidden/>
    <w:unhideWhenUsed/>
    <w:rsid w:val="004C7169"/>
    <w:pPr>
      <w:spacing w:before="100" w:beforeAutospacing="1" w:after="100" w:afterAutospacing="1"/>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180</TotalTime>
  <Pages>8</Pages>
  <Words>2362</Words>
  <Characters>12994</Characters>
  <Application>Microsoft Office Word</Application>
  <DocSecurity>0</DocSecurity>
  <Lines>108</Lines>
  <Paragraphs>30</Paragraphs>
  <ScaleCrop>false</ScaleCrop>
  <HeadingPairs>
    <vt:vector size="2" baseType="variant">
      <vt:variant>
        <vt:lpstr>Titre</vt:lpstr>
      </vt:variant>
      <vt:variant>
        <vt:i4>1</vt:i4>
      </vt:variant>
    </vt:vector>
  </HeadingPairs>
  <TitlesOfParts>
    <vt:vector size="1" baseType="lpstr">
      <vt:lpstr>Règlement de consultation – Phase 1 candidatures – DSP Multi-accueil Les Rives du Bohrie</vt:lpstr>
    </vt:vector>
  </TitlesOfParts>
  <Company/>
  <LinksUpToDate>false</LinksUpToDate>
  <CharactersWithSpaces>15326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Règlement de consultation – Phase 1 candidatures – DSP Multi-accueil Les Rives du Bohrie</dc:title>
  <dc:creator>Assistance à maîtrise d’ouvrage – Ville d’Ostwald</dc:creator>
  <cp:lastModifiedBy>Aurore DIDIER</cp:lastModifiedBy>
  <cp:revision>4</cp:revision>
  <dcterms:created xsi:type="dcterms:W3CDTF">2026-06-03T14:10:00Z</dcterms:created>
  <dcterms:modified xsi:type="dcterms:W3CDTF">2026-06-05T07:28:00Z</dcterms:modified>
</cp:coreProperties>
</file>