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02572" w14:textId="77777777" w:rsidR="00002907" w:rsidRDefault="00000000">
      <w:pPr>
        <w:jc w:val="center"/>
      </w:pPr>
      <w:r>
        <w:rPr>
          <w:noProof/>
        </w:rPr>
        <w:drawing>
          <wp:inline distT="0" distB="0" distL="0" distR="0" wp14:anchorId="52018E20" wp14:editId="20B654DE">
            <wp:extent cx="954000" cy="1169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son_reichstett.jpeg"/>
                    <pic:cNvPicPr/>
                  </pic:nvPicPr>
                  <pic:blipFill>
                    <a:blip r:embed="rId8"/>
                    <a:stretch>
                      <a:fillRect/>
                    </a:stretch>
                  </pic:blipFill>
                  <pic:spPr>
                    <a:xfrm>
                      <a:off x="0" y="0"/>
                      <a:ext cx="954000" cy="1169905"/>
                    </a:xfrm>
                    <a:prstGeom prst="rect">
                      <a:avLst/>
                    </a:prstGeom>
                  </pic:spPr>
                </pic:pic>
              </a:graphicData>
            </a:graphic>
          </wp:inline>
        </w:drawing>
      </w:r>
    </w:p>
    <w:p w14:paraId="43692728" w14:textId="77777777" w:rsidR="00002907" w:rsidRDefault="00000000">
      <w:pPr>
        <w:spacing w:after="20"/>
        <w:jc w:val="center"/>
      </w:pPr>
      <w:r>
        <w:rPr>
          <w:b/>
          <w:sz w:val="36"/>
        </w:rPr>
        <w:t>COMMUNE DE REICHSTETT</w:t>
      </w:r>
    </w:p>
    <w:p w14:paraId="341011D6" w14:textId="77777777" w:rsidR="00002907" w:rsidRDefault="00000000">
      <w:pPr>
        <w:spacing w:after="360"/>
        <w:jc w:val="center"/>
      </w:pPr>
      <w:r>
        <w:rPr>
          <w:sz w:val="23"/>
        </w:rPr>
        <w:t>24 rue de la Wantzenau – 67116 Reichstett</w:t>
      </w:r>
    </w:p>
    <w:p w14:paraId="67890339" w14:textId="77777777" w:rsidR="00002907" w:rsidRDefault="00000000">
      <w:pPr>
        <w:spacing w:after="360"/>
        <w:jc w:val="center"/>
      </w:pPr>
      <w:r>
        <w:rPr>
          <w:b/>
          <w:color w:val="404040"/>
          <w:sz w:val="28"/>
        </w:rPr>
        <w:t>CONCESSION DE TRAVAUX</w:t>
      </w:r>
    </w:p>
    <w:tbl>
      <w:tblPr>
        <w:tblW w:w="0" w:type="auto"/>
        <w:jc w:val="center"/>
        <w:tblLayout w:type="fixed"/>
        <w:tblLook w:val="04A0" w:firstRow="1" w:lastRow="0" w:firstColumn="1" w:lastColumn="0" w:noHBand="0" w:noVBand="1"/>
      </w:tblPr>
      <w:tblGrid>
        <w:gridCol w:w="10262"/>
      </w:tblGrid>
      <w:tr w:rsidR="00002907" w14:paraId="09E8D4BA" w14:textId="77777777">
        <w:trPr>
          <w:jc w:val="center"/>
        </w:trPr>
        <w:tc>
          <w:tcPr>
            <w:tcW w:w="10262" w:type="dxa"/>
            <w:tcBorders>
              <w:top w:val="double" w:sz="12" w:space="0" w:color="404040"/>
              <w:left w:val="double" w:sz="12" w:space="0" w:color="404040"/>
              <w:bottom w:val="double" w:sz="12" w:space="0" w:color="404040"/>
              <w:right w:val="double" w:sz="12" w:space="0" w:color="404040"/>
            </w:tcBorders>
            <w:shd w:val="clear" w:color="auto" w:fill="D9D9D9"/>
            <w:tcMar>
              <w:top w:w="140" w:type="dxa"/>
              <w:left w:w="120" w:type="dxa"/>
              <w:bottom w:w="140" w:type="dxa"/>
              <w:right w:w="120" w:type="dxa"/>
            </w:tcMar>
          </w:tcPr>
          <w:p w14:paraId="0E4DA2A9" w14:textId="77777777" w:rsidR="00002907" w:rsidRDefault="00000000">
            <w:pPr>
              <w:spacing w:after="0"/>
              <w:jc w:val="center"/>
            </w:pPr>
            <w:r>
              <w:rPr>
                <w:b/>
                <w:sz w:val="26"/>
              </w:rPr>
              <w:t>RÈGLEMENT DE CONSULTATION</w:t>
            </w:r>
          </w:p>
          <w:p w14:paraId="5365F806" w14:textId="77777777" w:rsidR="00002907" w:rsidRDefault="00000000">
            <w:pPr>
              <w:spacing w:after="0"/>
              <w:jc w:val="center"/>
            </w:pPr>
            <w:r>
              <w:rPr>
                <w:b/>
                <w:sz w:val="24"/>
              </w:rPr>
              <w:t>RC</w:t>
            </w:r>
          </w:p>
        </w:tc>
      </w:tr>
    </w:tbl>
    <w:p w14:paraId="44358F2E" w14:textId="77777777" w:rsidR="00002907" w:rsidRDefault="00000000">
      <w:pPr>
        <w:spacing w:before="360" w:after="160"/>
        <w:jc w:val="center"/>
      </w:pPr>
      <w:r>
        <w:rPr>
          <w:b/>
          <w:sz w:val="23"/>
        </w:rPr>
        <w:t>Conception, financement et réalisation du désamiantage et de la réfection de la toiture des ateliers municipaux, installation et exploitation d’une centrale photovoltaïque, puis transfert de l’installation à la Commune</w:t>
      </w:r>
    </w:p>
    <w:p w14:paraId="55C2A69C" w14:textId="77777777" w:rsidR="00002907" w:rsidRDefault="00000000">
      <w:pPr>
        <w:spacing w:after="240"/>
        <w:jc w:val="center"/>
      </w:pPr>
      <w:r>
        <w:rPr>
          <w:b/>
          <w:sz w:val="22"/>
          <w:u w:val="single"/>
        </w:rPr>
        <w:t>CONCESSION N° 2026-PV-01</w:t>
      </w:r>
    </w:p>
    <w:p w14:paraId="277E92C7" w14:textId="35465477" w:rsidR="00002907" w:rsidRDefault="00000000">
      <w:pPr>
        <w:spacing w:before="160" w:after="160"/>
        <w:jc w:val="center"/>
      </w:pPr>
      <w:r>
        <w:rPr>
          <w:b/>
          <w:color w:val="C00000"/>
          <w:sz w:val="24"/>
        </w:rPr>
        <w:t xml:space="preserve">Date et </w:t>
      </w:r>
      <w:proofErr w:type="spellStart"/>
      <w:r>
        <w:rPr>
          <w:b/>
          <w:color w:val="C00000"/>
          <w:sz w:val="24"/>
        </w:rPr>
        <w:t>heure</w:t>
      </w:r>
      <w:proofErr w:type="spellEnd"/>
      <w:r>
        <w:rPr>
          <w:b/>
          <w:color w:val="C00000"/>
          <w:sz w:val="24"/>
        </w:rPr>
        <w:t xml:space="preserve"> </w:t>
      </w:r>
      <w:proofErr w:type="spellStart"/>
      <w:r>
        <w:rPr>
          <w:b/>
          <w:color w:val="C00000"/>
          <w:sz w:val="24"/>
        </w:rPr>
        <w:t>limites</w:t>
      </w:r>
      <w:proofErr w:type="spellEnd"/>
      <w:r>
        <w:rPr>
          <w:b/>
          <w:color w:val="C00000"/>
          <w:sz w:val="24"/>
        </w:rPr>
        <w:t xml:space="preserve"> de </w:t>
      </w:r>
      <w:proofErr w:type="spellStart"/>
      <w:r>
        <w:rPr>
          <w:b/>
          <w:color w:val="C00000"/>
          <w:sz w:val="24"/>
        </w:rPr>
        <w:t>réception</w:t>
      </w:r>
      <w:proofErr w:type="spellEnd"/>
      <w:r>
        <w:rPr>
          <w:b/>
          <w:color w:val="C00000"/>
          <w:sz w:val="24"/>
        </w:rPr>
        <w:t xml:space="preserve"> des candidatures et des </w:t>
      </w:r>
      <w:proofErr w:type="spellStart"/>
      <w:proofErr w:type="gramStart"/>
      <w:r>
        <w:rPr>
          <w:b/>
          <w:color w:val="C00000"/>
          <w:sz w:val="24"/>
        </w:rPr>
        <w:t>offres</w:t>
      </w:r>
      <w:proofErr w:type="spellEnd"/>
      <w:r>
        <w:rPr>
          <w:b/>
          <w:color w:val="C00000"/>
          <w:sz w:val="24"/>
        </w:rPr>
        <w:t xml:space="preserve"> :</w:t>
      </w:r>
      <w:proofErr w:type="gramEnd"/>
      <w:r>
        <w:rPr>
          <w:b/>
          <w:color w:val="C00000"/>
          <w:sz w:val="24"/>
        </w:rPr>
        <w:br/>
      </w:r>
      <w:proofErr w:type="spellStart"/>
      <w:r>
        <w:rPr>
          <w:b/>
          <w:color w:val="C00000"/>
          <w:sz w:val="24"/>
        </w:rPr>
        <w:t>Vendredi</w:t>
      </w:r>
      <w:proofErr w:type="spellEnd"/>
      <w:r>
        <w:rPr>
          <w:b/>
          <w:color w:val="C00000"/>
          <w:sz w:val="24"/>
        </w:rPr>
        <w:t xml:space="preserve"> </w:t>
      </w:r>
      <w:r w:rsidR="001F6A5D">
        <w:rPr>
          <w:b/>
          <w:color w:val="C00000"/>
          <w:sz w:val="24"/>
        </w:rPr>
        <w:t>13</w:t>
      </w:r>
      <w:r>
        <w:rPr>
          <w:b/>
          <w:color w:val="C00000"/>
          <w:sz w:val="24"/>
        </w:rPr>
        <w:t xml:space="preserve"> </w:t>
      </w:r>
      <w:proofErr w:type="spellStart"/>
      <w:r w:rsidR="001F6A5D">
        <w:rPr>
          <w:b/>
          <w:color w:val="C00000"/>
          <w:sz w:val="24"/>
        </w:rPr>
        <w:t>novembre</w:t>
      </w:r>
      <w:proofErr w:type="spellEnd"/>
      <w:r>
        <w:rPr>
          <w:b/>
          <w:color w:val="C00000"/>
          <w:sz w:val="24"/>
        </w:rPr>
        <w:t xml:space="preserve"> 2026 à 18 h 00</w:t>
      </w:r>
    </w:p>
    <w:tbl>
      <w:tblPr>
        <w:tblW w:w="0" w:type="auto"/>
        <w:jc w:val="center"/>
        <w:tblLayout w:type="fixed"/>
        <w:tblLook w:val="04A0" w:firstRow="1" w:lastRow="0" w:firstColumn="1" w:lastColumn="0" w:noHBand="0" w:noVBand="1"/>
      </w:tblPr>
      <w:tblGrid>
        <w:gridCol w:w="10262"/>
      </w:tblGrid>
      <w:tr w:rsidR="00002907" w14:paraId="2F621DC0" w14:textId="77777777">
        <w:trPr>
          <w:jc w:val="center"/>
        </w:trPr>
        <w:tc>
          <w:tcPr>
            <w:tcW w:w="10262" w:type="dxa"/>
            <w:tcBorders>
              <w:top w:val="single" w:sz="8" w:space="0" w:color="C9A227"/>
              <w:left w:val="single" w:sz="8" w:space="0" w:color="C9A227"/>
              <w:bottom w:val="single" w:sz="8" w:space="0" w:color="C9A227"/>
              <w:right w:val="single" w:sz="8" w:space="0" w:color="C9A227"/>
            </w:tcBorders>
            <w:shd w:val="clear" w:color="auto" w:fill="FFF2CC"/>
          </w:tcPr>
          <w:p w14:paraId="3DD1A98B" w14:textId="77777777" w:rsidR="00002907" w:rsidRDefault="00000000">
            <w:pPr>
              <w:spacing w:after="0"/>
              <w:jc w:val="center"/>
            </w:pPr>
            <w:r>
              <w:rPr>
                <w:b/>
                <w:color w:val="404040"/>
                <w:sz w:val="18"/>
              </w:rPr>
              <w:t>CONSULTATION EN UNE PHASE – CANDIDATURE ET OFFRE REMISES SIMULTANÉMENT – VISITE OBLIGATOIRE</w:t>
            </w:r>
          </w:p>
        </w:tc>
      </w:tr>
    </w:tbl>
    <w:p w14:paraId="621C29F0" w14:textId="77777777" w:rsidR="00002907" w:rsidRDefault="00000000">
      <w:pPr>
        <w:spacing w:before="200"/>
        <w:jc w:val="center"/>
      </w:pPr>
      <w:r>
        <w:rPr>
          <w:i/>
          <w:color w:val="404040"/>
          <w:sz w:val="16"/>
        </w:rPr>
        <w:t>Version 2 – 28 juillet 2026</w:t>
      </w:r>
    </w:p>
    <w:p w14:paraId="6D81B832" w14:textId="77777777" w:rsidR="00002907" w:rsidRDefault="00000000">
      <w:r>
        <w:br w:type="page"/>
      </w:r>
    </w:p>
    <w:p w14:paraId="24845877" w14:textId="77777777" w:rsidR="00002907" w:rsidRDefault="00000000">
      <w:pPr>
        <w:pStyle w:val="Titre1"/>
      </w:pPr>
      <w:r>
        <w:lastRenderedPageBreak/>
        <w:t>Sommaire</w:t>
      </w:r>
    </w:p>
    <w:tbl>
      <w:tblPr>
        <w:tblW w:w="0" w:type="auto"/>
        <w:jc w:val="center"/>
        <w:tblLayout w:type="fixed"/>
        <w:tblLook w:val="04A0" w:firstRow="1" w:lastRow="0" w:firstColumn="1" w:lastColumn="0" w:noHBand="0" w:noVBand="1"/>
      </w:tblPr>
      <w:tblGrid>
        <w:gridCol w:w="680"/>
        <w:gridCol w:w="9354"/>
      </w:tblGrid>
      <w:tr w:rsidR="00002907" w14:paraId="52558B01" w14:textId="77777777">
        <w:trPr>
          <w:tblHeader/>
          <w:jc w:val="center"/>
        </w:trPr>
        <w:tc>
          <w:tcPr>
            <w:tcW w:w="680" w:type="dxa"/>
            <w:tcBorders>
              <w:top w:val="single" w:sz="6" w:space="0" w:color="FFFFFF"/>
              <w:left w:val="single" w:sz="6" w:space="0" w:color="FFFFFF"/>
              <w:bottom w:val="single" w:sz="6" w:space="0" w:color="FFFFFF"/>
              <w:right w:val="single" w:sz="6" w:space="0" w:color="FFFFFF"/>
            </w:tcBorders>
            <w:shd w:val="clear" w:color="auto" w:fill="5B9BD5"/>
            <w:tcMar>
              <w:top w:w="100" w:type="dxa"/>
              <w:left w:w="100" w:type="dxa"/>
              <w:bottom w:w="100" w:type="dxa"/>
              <w:right w:w="100" w:type="dxa"/>
            </w:tcMar>
            <w:vAlign w:val="center"/>
          </w:tcPr>
          <w:p w14:paraId="0442A247" w14:textId="77777777" w:rsidR="00002907" w:rsidRDefault="00000000">
            <w:pPr>
              <w:spacing w:after="0"/>
              <w:jc w:val="center"/>
            </w:pPr>
            <w:r>
              <w:rPr>
                <w:b/>
                <w:color w:val="FFFFFF"/>
                <w:sz w:val="18"/>
              </w:rPr>
              <w:t>N°</w:t>
            </w:r>
          </w:p>
        </w:tc>
        <w:tc>
          <w:tcPr>
            <w:tcW w:w="9354" w:type="dxa"/>
            <w:tcBorders>
              <w:top w:val="single" w:sz="6" w:space="0" w:color="FFFFFF"/>
              <w:left w:val="single" w:sz="6" w:space="0" w:color="FFFFFF"/>
              <w:bottom w:val="single" w:sz="6" w:space="0" w:color="FFFFFF"/>
              <w:right w:val="single" w:sz="6" w:space="0" w:color="FFFFFF"/>
            </w:tcBorders>
            <w:shd w:val="clear" w:color="auto" w:fill="5B9BD5"/>
            <w:tcMar>
              <w:top w:w="100" w:type="dxa"/>
              <w:left w:w="100" w:type="dxa"/>
              <w:bottom w:w="100" w:type="dxa"/>
              <w:right w:w="100" w:type="dxa"/>
            </w:tcMar>
            <w:vAlign w:val="center"/>
          </w:tcPr>
          <w:p w14:paraId="0B58377E" w14:textId="77777777" w:rsidR="00002907" w:rsidRDefault="00000000">
            <w:pPr>
              <w:spacing w:after="0"/>
              <w:jc w:val="center"/>
            </w:pPr>
            <w:r>
              <w:rPr>
                <w:b/>
                <w:color w:val="FFFFFF"/>
                <w:sz w:val="18"/>
              </w:rPr>
              <w:t>Rubrique</w:t>
            </w:r>
          </w:p>
        </w:tc>
      </w:tr>
      <w:tr w:rsidR="00002907" w14:paraId="486D1EA8" w14:textId="77777777">
        <w:trPr>
          <w:cantSplit/>
          <w:jc w:val="center"/>
        </w:trPr>
        <w:tc>
          <w:tcPr>
            <w:tcW w:w="680"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36C281FA" w14:textId="77777777" w:rsidR="00002907" w:rsidRDefault="00000000">
            <w:pPr>
              <w:spacing w:after="0"/>
              <w:jc w:val="center"/>
            </w:pPr>
            <w:r>
              <w:rPr>
                <w:sz w:val="18"/>
              </w:rPr>
              <w:t>1</w:t>
            </w:r>
          </w:p>
        </w:tc>
        <w:tc>
          <w:tcPr>
            <w:tcW w:w="9354"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5F011AC7" w14:textId="77777777" w:rsidR="00002907" w:rsidRDefault="00000000">
            <w:pPr>
              <w:spacing w:after="0"/>
            </w:pPr>
            <w:r>
              <w:rPr>
                <w:sz w:val="18"/>
              </w:rPr>
              <w:t>Objet, autorité concédante et cadre juridique</w:t>
            </w:r>
          </w:p>
        </w:tc>
      </w:tr>
      <w:tr w:rsidR="00002907" w14:paraId="04F593B0" w14:textId="77777777">
        <w:trPr>
          <w:cantSplit/>
          <w:jc w:val="center"/>
        </w:trPr>
        <w:tc>
          <w:tcPr>
            <w:tcW w:w="680"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1D3DEF1F" w14:textId="77777777" w:rsidR="00002907" w:rsidRDefault="00000000">
            <w:pPr>
              <w:spacing w:after="0"/>
              <w:jc w:val="center"/>
            </w:pPr>
            <w:r>
              <w:rPr>
                <w:sz w:val="18"/>
              </w:rPr>
              <w:t>2</w:t>
            </w:r>
          </w:p>
        </w:tc>
        <w:tc>
          <w:tcPr>
            <w:tcW w:w="9354"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6C0B34CD" w14:textId="77777777" w:rsidR="00002907" w:rsidRDefault="00000000">
            <w:pPr>
              <w:spacing w:after="0"/>
            </w:pPr>
            <w:r>
              <w:rPr>
                <w:sz w:val="18"/>
              </w:rPr>
              <w:t>Organisation de la consultation</w:t>
            </w:r>
          </w:p>
        </w:tc>
      </w:tr>
      <w:tr w:rsidR="00002907" w14:paraId="72784489" w14:textId="77777777">
        <w:trPr>
          <w:cantSplit/>
          <w:jc w:val="center"/>
        </w:trPr>
        <w:tc>
          <w:tcPr>
            <w:tcW w:w="680"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5C2F7A1D" w14:textId="77777777" w:rsidR="00002907" w:rsidRDefault="00000000">
            <w:pPr>
              <w:spacing w:after="0"/>
              <w:jc w:val="center"/>
            </w:pPr>
            <w:r>
              <w:rPr>
                <w:sz w:val="18"/>
              </w:rPr>
              <w:t>3</w:t>
            </w:r>
          </w:p>
        </w:tc>
        <w:tc>
          <w:tcPr>
            <w:tcW w:w="9354"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246C86B3" w14:textId="77777777" w:rsidR="00002907" w:rsidRDefault="00000000">
            <w:pPr>
              <w:spacing w:after="0"/>
            </w:pPr>
            <w:r>
              <w:rPr>
                <w:sz w:val="18"/>
              </w:rPr>
              <w:t>Contenu du DCE et modifications</w:t>
            </w:r>
          </w:p>
        </w:tc>
      </w:tr>
      <w:tr w:rsidR="00002907" w14:paraId="0FA91584" w14:textId="77777777">
        <w:trPr>
          <w:cantSplit/>
          <w:jc w:val="center"/>
        </w:trPr>
        <w:tc>
          <w:tcPr>
            <w:tcW w:w="680"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0AEA2EDD" w14:textId="77777777" w:rsidR="00002907" w:rsidRDefault="00000000">
            <w:pPr>
              <w:spacing w:after="0"/>
              <w:jc w:val="center"/>
            </w:pPr>
            <w:r>
              <w:rPr>
                <w:sz w:val="18"/>
              </w:rPr>
              <w:t>4</w:t>
            </w:r>
          </w:p>
        </w:tc>
        <w:tc>
          <w:tcPr>
            <w:tcW w:w="9354"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551487C3" w14:textId="77777777" w:rsidR="00002907" w:rsidRDefault="00000000">
            <w:pPr>
              <w:spacing w:after="0"/>
            </w:pPr>
            <w:r>
              <w:rPr>
                <w:sz w:val="18"/>
              </w:rPr>
              <w:t>Conditions de participation et forme des candidatures</w:t>
            </w:r>
          </w:p>
        </w:tc>
      </w:tr>
      <w:tr w:rsidR="00002907" w14:paraId="7A9699E5" w14:textId="77777777">
        <w:trPr>
          <w:cantSplit/>
          <w:jc w:val="center"/>
        </w:trPr>
        <w:tc>
          <w:tcPr>
            <w:tcW w:w="680"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64AB1BFA" w14:textId="77777777" w:rsidR="00002907" w:rsidRDefault="00000000">
            <w:pPr>
              <w:spacing w:after="0"/>
              <w:jc w:val="center"/>
            </w:pPr>
            <w:r>
              <w:rPr>
                <w:sz w:val="18"/>
              </w:rPr>
              <w:t>5</w:t>
            </w:r>
          </w:p>
        </w:tc>
        <w:tc>
          <w:tcPr>
            <w:tcW w:w="9354"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135D3A69" w14:textId="77777777" w:rsidR="00002907" w:rsidRDefault="00000000">
            <w:pPr>
              <w:spacing w:after="0"/>
            </w:pPr>
            <w:r>
              <w:rPr>
                <w:sz w:val="18"/>
              </w:rPr>
              <w:t>Visite du site</w:t>
            </w:r>
          </w:p>
        </w:tc>
      </w:tr>
      <w:tr w:rsidR="00002907" w14:paraId="470A3D38" w14:textId="77777777">
        <w:trPr>
          <w:cantSplit/>
          <w:jc w:val="center"/>
        </w:trPr>
        <w:tc>
          <w:tcPr>
            <w:tcW w:w="680"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7E9AD887" w14:textId="77777777" w:rsidR="00002907" w:rsidRDefault="00000000">
            <w:pPr>
              <w:spacing w:after="0"/>
              <w:jc w:val="center"/>
            </w:pPr>
            <w:r>
              <w:rPr>
                <w:sz w:val="18"/>
              </w:rPr>
              <w:t>6</w:t>
            </w:r>
          </w:p>
        </w:tc>
        <w:tc>
          <w:tcPr>
            <w:tcW w:w="9354"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1571BA71" w14:textId="77777777" w:rsidR="00002907" w:rsidRDefault="00000000">
            <w:pPr>
              <w:spacing w:after="0"/>
            </w:pPr>
            <w:r>
              <w:rPr>
                <w:sz w:val="18"/>
              </w:rPr>
              <w:t>Présentation des candidatures</w:t>
            </w:r>
          </w:p>
        </w:tc>
      </w:tr>
      <w:tr w:rsidR="00002907" w14:paraId="504311D5" w14:textId="77777777">
        <w:trPr>
          <w:cantSplit/>
          <w:jc w:val="center"/>
        </w:trPr>
        <w:tc>
          <w:tcPr>
            <w:tcW w:w="680"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6EDB61B6" w14:textId="77777777" w:rsidR="00002907" w:rsidRDefault="00000000">
            <w:pPr>
              <w:spacing w:after="0"/>
              <w:jc w:val="center"/>
            </w:pPr>
            <w:r>
              <w:rPr>
                <w:sz w:val="18"/>
              </w:rPr>
              <w:t>7</w:t>
            </w:r>
          </w:p>
        </w:tc>
        <w:tc>
          <w:tcPr>
            <w:tcW w:w="9354"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7140712F" w14:textId="77777777" w:rsidR="00002907" w:rsidRDefault="00000000">
            <w:pPr>
              <w:spacing w:after="0"/>
            </w:pPr>
            <w:r>
              <w:rPr>
                <w:sz w:val="18"/>
              </w:rPr>
              <w:t>Présentation des offres</w:t>
            </w:r>
          </w:p>
        </w:tc>
      </w:tr>
      <w:tr w:rsidR="00002907" w14:paraId="7B9CA570" w14:textId="77777777">
        <w:trPr>
          <w:cantSplit/>
          <w:jc w:val="center"/>
        </w:trPr>
        <w:tc>
          <w:tcPr>
            <w:tcW w:w="680"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380FF8AA" w14:textId="77777777" w:rsidR="00002907" w:rsidRDefault="00000000">
            <w:pPr>
              <w:spacing w:after="0"/>
              <w:jc w:val="center"/>
            </w:pPr>
            <w:r>
              <w:rPr>
                <w:sz w:val="18"/>
              </w:rPr>
              <w:t>8</w:t>
            </w:r>
          </w:p>
        </w:tc>
        <w:tc>
          <w:tcPr>
            <w:tcW w:w="9354"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57C354E4" w14:textId="77777777" w:rsidR="00002907" w:rsidRDefault="00000000">
            <w:pPr>
              <w:spacing w:after="0"/>
            </w:pPr>
            <w:r>
              <w:rPr>
                <w:sz w:val="18"/>
              </w:rPr>
              <w:t>Transmission électronique des plis</w:t>
            </w:r>
          </w:p>
        </w:tc>
      </w:tr>
      <w:tr w:rsidR="00002907" w14:paraId="26708C8C" w14:textId="77777777">
        <w:trPr>
          <w:cantSplit/>
          <w:jc w:val="center"/>
        </w:trPr>
        <w:tc>
          <w:tcPr>
            <w:tcW w:w="680"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4383A822" w14:textId="77777777" w:rsidR="00002907" w:rsidRDefault="00000000">
            <w:pPr>
              <w:spacing w:after="0"/>
              <w:jc w:val="center"/>
            </w:pPr>
            <w:r>
              <w:rPr>
                <w:sz w:val="18"/>
              </w:rPr>
              <w:t>9</w:t>
            </w:r>
          </w:p>
        </w:tc>
        <w:tc>
          <w:tcPr>
            <w:tcW w:w="9354"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2CD5F04D" w14:textId="77777777" w:rsidR="00002907" w:rsidRDefault="00000000">
            <w:pPr>
              <w:spacing w:after="0"/>
            </w:pPr>
            <w:r>
              <w:rPr>
                <w:sz w:val="18"/>
              </w:rPr>
              <w:t>Examen des candidatures</w:t>
            </w:r>
          </w:p>
        </w:tc>
      </w:tr>
      <w:tr w:rsidR="00002907" w14:paraId="5E603AFE" w14:textId="77777777">
        <w:trPr>
          <w:cantSplit/>
          <w:jc w:val="center"/>
        </w:trPr>
        <w:tc>
          <w:tcPr>
            <w:tcW w:w="680"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46CC90C7" w14:textId="77777777" w:rsidR="00002907" w:rsidRDefault="00000000">
            <w:pPr>
              <w:spacing w:after="0"/>
              <w:jc w:val="center"/>
            </w:pPr>
            <w:r>
              <w:rPr>
                <w:sz w:val="18"/>
              </w:rPr>
              <w:t>10</w:t>
            </w:r>
          </w:p>
        </w:tc>
        <w:tc>
          <w:tcPr>
            <w:tcW w:w="9354"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30DB0BCB" w14:textId="77777777" w:rsidR="00002907" w:rsidRDefault="00000000">
            <w:pPr>
              <w:spacing w:after="0"/>
            </w:pPr>
            <w:r>
              <w:rPr>
                <w:sz w:val="18"/>
              </w:rPr>
              <w:t>Examen, notation, audition et négociation des offres</w:t>
            </w:r>
          </w:p>
        </w:tc>
      </w:tr>
      <w:tr w:rsidR="00002907" w14:paraId="4D1DA893" w14:textId="77777777">
        <w:trPr>
          <w:cantSplit/>
          <w:jc w:val="center"/>
        </w:trPr>
        <w:tc>
          <w:tcPr>
            <w:tcW w:w="680"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2CC410B8" w14:textId="77777777" w:rsidR="00002907" w:rsidRDefault="00000000">
            <w:pPr>
              <w:spacing w:after="0"/>
              <w:jc w:val="center"/>
            </w:pPr>
            <w:r>
              <w:rPr>
                <w:sz w:val="18"/>
              </w:rPr>
              <w:t>11</w:t>
            </w:r>
          </w:p>
        </w:tc>
        <w:tc>
          <w:tcPr>
            <w:tcW w:w="9354"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78C232A4" w14:textId="77777777" w:rsidR="00002907" w:rsidRDefault="00000000">
            <w:pPr>
              <w:spacing w:after="0"/>
            </w:pPr>
            <w:r>
              <w:rPr>
                <w:sz w:val="18"/>
              </w:rPr>
              <w:t>Attribution, mise au point et signature</w:t>
            </w:r>
          </w:p>
        </w:tc>
      </w:tr>
      <w:tr w:rsidR="00002907" w14:paraId="3A818720" w14:textId="77777777">
        <w:trPr>
          <w:cantSplit/>
          <w:jc w:val="center"/>
        </w:trPr>
        <w:tc>
          <w:tcPr>
            <w:tcW w:w="680"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05D8F7EE" w14:textId="77777777" w:rsidR="00002907" w:rsidRDefault="00000000">
            <w:pPr>
              <w:spacing w:after="0"/>
              <w:jc w:val="center"/>
            </w:pPr>
            <w:r>
              <w:rPr>
                <w:sz w:val="18"/>
              </w:rPr>
              <w:t>12</w:t>
            </w:r>
          </w:p>
        </w:tc>
        <w:tc>
          <w:tcPr>
            <w:tcW w:w="9354"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6FAC27D8" w14:textId="77777777" w:rsidR="00002907" w:rsidRDefault="00000000">
            <w:pPr>
              <w:spacing w:after="0"/>
            </w:pPr>
            <w:r>
              <w:rPr>
                <w:sz w:val="18"/>
              </w:rPr>
              <w:t>Confidentialité, recours et renseignements</w:t>
            </w:r>
          </w:p>
        </w:tc>
      </w:tr>
    </w:tbl>
    <w:p w14:paraId="1629A1A2" w14:textId="77777777" w:rsidR="00002907" w:rsidRDefault="00002907">
      <w:pPr>
        <w:spacing w:after="0"/>
      </w:pPr>
    </w:p>
    <w:p w14:paraId="562A7082" w14:textId="77777777" w:rsidR="00002907" w:rsidRDefault="00000000">
      <w:pPr>
        <w:pStyle w:val="LegalArticle"/>
      </w:pPr>
      <w:r>
        <w:t>Article 1 – Objet, autorité concédante et cadre juridique</w:t>
      </w:r>
    </w:p>
    <w:p w14:paraId="352B0EF5" w14:textId="77777777" w:rsidR="00002907" w:rsidRDefault="00000000">
      <w:pPr>
        <w:pStyle w:val="Titre2"/>
      </w:pPr>
      <w:r>
        <w:t>1.1 – Autorité concédante</w:t>
      </w:r>
    </w:p>
    <w:tbl>
      <w:tblPr>
        <w:tblW w:w="0" w:type="auto"/>
        <w:jc w:val="center"/>
        <w:tblLayout w:type="fixed"/>
        <w:tblLook w:val="04A0" w:firstRow="1" w:lastRow="0" w:firstColumn="1" w:lastColumn="0" w:noHBand="0" w:noVBand="1"/>
      </w:tblPr>
      <w:tblGrid>
        <w:gridCol w:w="2891"/>
        <w:gridCol w:w="7143"/>
      </w:tblGrid>
      <w:tr w:rsidR="00002907" w14:paraId="2855F7B3" w14:textId="77777777">
        <w:trPr>
          <w:tblHeader/>
          <w:jc w:val="center"/>
        </w:trPr>
        <w:tc>
          <w:tcPr>
            <w:tcW w:w="2891" w:type="dxa"/>
            <w:tcBorders>
              <w:top w:val="single" w:sz="6" w:space="0" w:color="FFFFFF"/>
              <w:left w:val="single" w:sz="6" w:space="0" w:color="FFFFFF"/>
              <w:bottom w:val="single" w:sz="6" w:space="0" w:color="FFFFFF"/>
              <w:right w:val="single" w:sz="6" w:space="0" w:color="FFFFFF"/>
            </w:tcBorders>
            <w:shd w:val="clear" w:color="auto" w:fill="1F4E79"/>
            <w:tcMar>
              <w:top w:w="100" w:type="dxa"/>
              <w:left w:w="100" w:type="dxa"/>
              <w:bottom w:w="100" w:type="dxa"/>
              <w:right w:w="100" w:type="dxa"/>
            </w:tcMar>
            <w:vAlign w:val="center"/>
          </w:tcPr>
          <w:p w14:paraId="4FE99DC7" w14:textId="77777777" w:rsidR="00002907" w:rsidRDefault="00000000">
            <w:pPr>
              <w:spacing w:after="0"/>
              <w:jc w:val="center"/>
            </w:pPr>
            <w:r>
              <w:rPr>
                <w:b/>
                <w:color w:val="FFFFFF"/>
                <w:sz w:val="17"/>
              </w:rPr>
              <w:t>Rubrique</w:t>
            </w:r>
          </w:p>
        </w:tc>
        <w:tc>
          <w:tcPr>
            <w:tcW w:w="7143" w:type="dxa"/>
            <w:tcBorders>
              <w:top w:val="single" w:sz="6" w:space="0" w:color="FFFFFF"/>
              <w:left w:val="single" w:sz="6" w:space="0" w:color="FFFFFF"/>
              <w:bottom w:val="single" w:sz="6" w:space="0" w:color="FFFFFF"/>
              <w:right w:val="single" w:sz="6" w:space="0" w:color="FFFFFF"/>
            </w:tcBorders>
            <w:shd w:val="clear" w:color="auto" w:fill="1F4E79"/>
            <w:tcMar>
              <w:top w:w="100" w:type="dxa"/>
              <w:left w:w="100" w:type="dxa"/>
              <w:bottom w:w="100" w:type="dxa"/>
              <w:right w:w="100" w:type="dxa"/>
            </w:tcMar>
            <w:vAlign w:val="center"/>
          </w:tcPr>
          <w:p w14:paraId="5056ADCA" w14:textId="77777777" w:rsidR="00002907" w:rsidRDefault="00000000">
            <w:pPr>
              <w:spacing w:after="0"/>
              <w:jc w:val="center"/>
            </w:pPr>
            <w:r>
              <w:rPr>
                <w:b/>
                <w:color w:val="FFFFFF"/>
                <w:sz w:val="17"/>
              </w:rPr>
              <w:t>Information</w:t>
            </w:r>
          </w:p>
        </w:tc>
      </w:tr>
      <w:tr w:rsidR="00002907" w14:paraId="75AC6B4B" w14:textId="77777777">
        <w:trPr>
          <w:cantSplit/>
          <w:jc w:val="center"/>
        </w:trPr>
        <w:tc>
          <w:tcPr>
            <w:tcW w:w="2891"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050C554A" w14:textId="77777777" w:rsidR="00002907" w:rsidRDefault="00000000">
            <w:pPr>
              <w:spacing w:after="0"/>
              <w:jc w:val="center"/>
            </w:pPr>
            <w:r>
              <w:rPr>
                <w:sz w:val="17"/>
              </w:rPr>
              <w:t>Autorité</w:t>
            </w:r>
          </w:p>
        </w:tc>
        <w:tc>
          <w:tcPr>
            <w:tcW w:w="7143"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4530A165" w14:textId="77777777" w:rsidR="00002907" w:rsidRDefault="00000000">
            <w:pPr>
              <w:spacing w:after="0"/>
            </w:pPr>
            <w:r>
              <w:rPr>
                <w:sz w:val="17"/>
              </w:rPr>
              <w:t>Commune de Reichstett</w:t>
            </w:r>
          </w:p>
        </w:tc>
      </w:tr>
      <w:tr w:rsidR="00002907" w14:paraId="79F254CD" w14:textId="77777777">
        <w:trPr>
          <w:cantSplit/>
          <w:jc w:val="center"/>
        </w:trPr>
        <w:tc>
          <w:tcPr>
            <w:tcW w:w="2891"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729D00A6" w14:textId="77777777" w:rsidR="00002907" w:rsidRDefault="00000000">
            <w:pPr>
              <w:spacing w:after="0"/>
              <w:jc w:val="center"/>
            </w:pPr>
            <w:r>
              <w:rPr>
                <w:sz w:val="17"/>
              </w:rPr>
              <w:t>Adresse</w:t>
            </w:r>
          </w:p>
        </w:tc>
        <w:tc>
          <w:tcPr>
            <w:tcW w:w="7143"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0C2EC96F" w14:textId="77777777" w:rsidR="00002907" w:rsidRDefault="00000000">
            <w:pPr>
              <w:spacing w:after="0"/>
            </w:pPr>
            <w:r>
              <w:rPr>
                <w:sz w:val="17"/>
              </w:rPr>
              <w:t>24 rue de la Wantzenau – 67116 Reichstett</w:t>
            </w:r>
          </w:p>
        </w:tc>
      </w:tr>
      <w:tr w:rsidR="00002907" w14:paraId="79FCD91F" w14:textId="77777777">
        <w:trPr>
          <w:cantSplit/>
          <w:jc w:val="center"/>
        </w:trPr>
        <w:tc>
          <w:tcPr>
            <w:tcW w:w="2891"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60AC467D" w14:textId="77777777" w:rsidR="00002907" w:rsidRDefault="00000000">
            <w:pPr>
              <w:spacing w:after="0"/>
              <w:jc w:val="center"/>
            </w:pPr>
            <w:r>
              <w:rPr>
                <w:sz w:val="17"/>
              </w:rPr>
              <w:t>Profil d’acheteur</w:t>
            </w:r>
          </w:p>
        </w:tc>
        <w:tc>
          <w:tcPr>
            <w:tcW w:w="7143"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4C1919BA" w14:textId="77777777" w:rsidR="00002907" w:rsidRDefault="00000000">
            <w:pPr>
              <w:spacing w:after="0"/>
            </w:pPr>
            <w:r>
              <w:rPr>
                <w:sz w:val="17"/>
              </w:rPr>
              <w:t>https://alsacemarchespublics.eu</w:t>
            </w:r>
          </w:p>
        </w:tc>
      </w:tr>
      <w:tr w:rsidR="00002907" w14:paraId="1D8DF898" w14:textId="77777777">
        <w:trPr>
          <w:cantSplit/>
          <w:jc w:val="center"/>
        </w:trPr>
        <w:tc>
          <w:tcPr>
            <w:tcW w:w="2891"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74227152" w14:textId="77777777" w:rsidR="00002907" w:rsidRDefault="00000000">
            <w:pPr>
              <w:spacing w:after="0"/>
              <w:jc w:val="center"/>
            </w:pPr>
            <w:r>
              <w:rPr>
                <w:sz w:val="17"/>
              </w:rPr>
              <w:t>Représentant</w:t>
            </w:r>
          </w:p>
        </w:tc>
        <w:tc>
          <w:tcPr>
            <w:tcW w:w="7143"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686248C1" w14:textId="77777777" w:rsidR="00002907" w:rsidRDefault="00000000">
            <w:pPr>
              <w:spacing w:after="0"/>
            </w:pPr>
            <w:r>
              <w:rPr>
                <w:sz w:val="17"/>
              </w:rPr>
              <w:t>Monsieur le Maire, habilité par délibération du conseil municipal n° [À COMPLÉTER] du [À COMPLÉTER]</w:t>
            </w:r>
          </w:p>
        </w:tc>
      </w:tr>
      <w:tr w:rsidR="00002907" w14:paraId="3049FE29" w14:textId="77777777">
        <w:trPr>
          <w:cantSplit/>
          <w:jc w:val="center"/>
        </w:trPr>
        <w:tc>
          <w:tcPr>
            <w:tcW w:w="2891"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6A86A8F2" w14:textId="77777777" w:rsidR="00002907" w:rsidRDefault="00000000">
            <w:pPr>
              <w:spacing w:after="0"/>
              <w:jc w:val="center"/>
            </w:pPr>
            <w:r>
              <w:rPr>
                <w:sz w:val="17"/>
              </w:rPr>
              <w:t>Référent technique</w:t>
            </w:r>
          </w:p>
        </w:tc>
        <w:tc>
          <w:tcPr>
            <w:tcW w:w="7143"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4B0C41ED" w14:textId="77777777" w:rsidR="00002907" w:rsidRDefault="00000000">
            <w:pPr>
              <w:spacing w:after="0"/>
            </w:pPr>
            <w:r>
              <w:rPr>
                <w:sz w:val="17"/>
              </w:rPr>
              <w:t>M. Geoffrey FERNANDES – Responsable Technique</w:t>
            </w:r>
          </w:p>
        </w:tc>
      </w:tr>
    </w:tbl>
    <w:p w14:paraId="21A8354D" w14:textId="77777777" w:rsidR="00002907" w:rsidRDefault="00002907">
      <w:pPr>
        <w:spacing w:after="0"/>
      </w:pPr>
    </w:p>
    <w:p w14:paraId="4D118C9C" w14:textId="77777777" w:rsidR="00002907" w:rsidRDefault="00000000">
      <w:pPr>
        <w:pStyle w:val="Titre2"/>
      </w:pPr>
      <w:r>
        <w:t>1.2 – Objet</w:t>
      </w:r>
    </w:p>
    <w:p w14:paraId="354C1B02" w14:textId="77777777" w:rsidR="00002907" w:rsidRDefault="00000000">
      <w:pPr>
        <w:jc w:val="both"/>
      </w:pPr>
      <w:r>
        <w:t>La consultation porte sur une concession de travaux ayant pour objet la conception, le financement et la réalisation du désamiantage et de la réfection de 2 360 m² de toiture des ateliers municipaux, ainsi que la conception, le financement, l’installation, le raccordement, l’exploitation et la maintenance d’une centrale photovoltaïque d’environ 500 kWc. La couverture neuve est réalisée en bac acier opaque, sans repose de plaques translucides ondulées, avec traitement de quatre lanterneaux, d’un passage de cheminée, d’un passage de VMC et de quatre sorties de ventilation haute de type cheminée non raccordée. En contrepartie, le concessionnaire dispose du droit d’exploiter l’installation et de percevoir les recettes de valorisation de l’électricité, à ses risques et périls. L’installation est transférée gratuitement à la Commune au terme du contrat.</w:t>
      </w:r>
    </w:p>
    <w:p w14:paraId="43B4E981" w14:textId="77777777" w:rsidR="00002907" w:rsidRDefault="00000000">
      <w:pPr>
        <w:pStyle w:val="Titre2"/>
      </w:pPr>
      <w:r>
        <w:t>1.3 – Qualification juridique</w:t>
      </w:r>
    </w:p>
    <w:p w14:paraId="0E6EC22C" w14:textId="77777777" w:rsidR="00002907" w:rsidRDefault="00000000">
      <w:pPr>
        <w:jc w:val="both"/>
      </w:pPr>
      <w:r>
        <w:t>Le contrat est une concession de travaux au sens des articles L. 1121-1 et L. 1121-2 du Code de la commande publique. Le risque d’exploitation est transféré au concessionnaire, qui n’est pas assuré d’amortir les investissements et coûts supportés. La consultation est régie par la troisième partie du Code de la commande publique et, pour la Commune, par les dispositions applicables du Code général des collectivités territoriales.</w:t>
      </w:r>
    </w:p>
    <w:p w14:paraId="4A1BD053" w14:textId="77777777" w:rsidR="00002907" w:rsidRDefault="00000000">
      <w:pPr>
        <w:jc w:val="both"/>
      </w:pPr>
      <w:r>
        <w:t>Le bail emphytéotique administratif ou le titre d’occupation joint au DCE est non détachable de la concession. Il ne peut être interprété comme ayant, à lui seul, pour objet les travaux ou services demandés par la Commune. Les conditions d’occupation sont intégrées à l’économie générale du contrat de la commande publique.</w:t>
      </w:r>
    </w:p>
    <w:p w14:paraId="2813DECA" w14:textId="77777777" w:rsidR="00002907" w:rsidRDefault="00000000">
      <w:pPr>
        <w:pStyle w:val="Titre2"/>
      </w:pPr>
      <w:r>
        <w:t>1.4 – Valeur estimée et procédure</w:t>
      </w:r>
    </w:p>
    <w:p w14:paraId="1D56AEAC" w14:textId="77777777" w:rsidR="00002907" w:rsidRDefault="00000000">
      <w:pPr>
        <w:jc w:val="both"/>
      </w:pPr>
      <w:r>
        <w:t xml:space="preserve">La valeur estimée provisoire est fixée à 1 000 000 € HT, correspondant au chiffre d’affaires total HT prévisionnel du concessionnaire sur la durée du contrat sur la base d’une centrale d’environ 500 kWc. Cette valeur est déterminée selon la </w:t>
      </w:r>
      <w:r>
        <w:lastRenderedPageBreak/>
        <w:t>méthode exposée dans le modèle économique V2 annexé et doit être validée avant publication. Sous réserve de cette validation, la procédure relève des règles particulières applicables aux concessions inférieures au seuil européen de 5 404 000 € HT pour 2026-2027.</w:t>
      </w:r>
    </w:p>
    <w:tbl>
      <w:tblPr>
        <w:tblW w:w="0" w:type="auto"/>
        <w:jc w:val="center"/>
        <w:tblLayout w:type="fixed"/>
        <w:tblLook w:val="04A0" w:firstRow="1" w:lastRow="0" w:firstColumn="1" w:lastColumn="0" w:noHBand="0" w:noVBand="1"/>
      </w:tblPr>
      <w:tblGrid>
        <w:gridCol w:w="10262"/>
      </w:tblGrid>
      <w:tr w:rsidR="00002907" w14:paraId="0C3450AF" w14:textId="77777777">
        <w:trPr>
          <w:jc w:val="center"/>
        </w:trPr>
        <w:tc>
          <w:tcPr>
            <w:tcW w:w="10262" w:type="dxa"/>
            <w:tcBorders>
              <w:top w:val="single" w:sz="10" w:space="0" w:color="C9A227"/>
              <w:left w:val="single" w:sz="10" w:space="0" w:color="C9A227"/>
              <w:bottom w:val="single" w:sz="10" w:space="0" w:color="C9A227"/>
              <w:right w:val="single" w:sz="10" w:space="0" w:color="C9A227"/>
            </w:tcBorders>
            <w:shd w:val="clear" w:color="auto" w:fill="FFF2CC"/>
            <w:tcMar>
              <w:top w:w="130" w:type="dxa"/>
              <w:left w:w="150" w:type="dxa"/>
              <w:bottom w:w="130" w:type="dxa"/>
              <w:right w:w="150" w:type="dxa"/>
            </w:tcMar>
          </w:tcPr>
          <w:p w14:paraId="2177B44F" w14:textId="77777777" w:rsidR="00002907" w:rsidRDefault="00000000">
            <w:pPr>
              <w:spacing w:after="40"/>
            </w:pPr>
            <w:r>
              <w:rPr>
                <w:b/>
                <w:color w:val="404040"/>
              </w:rPr>
              <w:t>Point de contrôle avant publication</w:t>
            </w:r>
          </w:p>
          <w:p w14:paraId="084CFA8B" w14:textId="77777777" w:rsidR="00002907" w:rsidRDefault="00000000">
            <w:pPr>
              <w:spacing w:after="0"/>
              <w:jc w:val="both"/>
            </w:pPr>
            <w:r>
              <w:rPr>
                <w:sz w:val="18"/>
              </w:rPr>
              <w:t>Si l’estimation finale atteint ou dépasse le seuil européen, le présent RC doit être mis en conformité avec la procédure formalisée : supports de publicité, délais, contenu de l’avis et autres exigences correspondantes.</w:t>
            </w:r>
          </w:p>
        </w:tc>
      </w:tr>
    </w:tbl>
    <w:p w14:paraId="4E08072A" w14:textId="77777777" w:rsidR="00002907" w:rsidRDefault="00002907">
      <w:pPr>
        <w:spacing w:after="0"/>
      </w:pPr>
    </w:p>
    <w:p w14:paraId="2507BBF0" w14:textId="77777777" w:rsidR="00002907" w:rsidRDefault="00000000">
      <w:pPr>
        <w:pStyle w:val="LegalArticle"/>
      </w:pPr>
      <w:r>
        <w:t>Article 2 – Organisation de la consultation</w:t>
      </w:r>
    </w:p>
    <w:p w14:paraId="34C1AC52" w14:textId="77777777" w:rsidR="00002907" w:rsidRDefault="00000000">
      <w:pPr>
        <w:pStyle w:val="Titre2"/>
      </w:pPr>
      <w:r>
        <w:t>2.1 – Phase unique</w:t>
      </w:r>
    </w:p>
    <w:p w14:paraId="04FCA03B" w14:textId="77777777" w:rsidR="00002907" w:rsidRDefault="00000000">
      <w:pPr>
        <w:jc w:val="both"/>
      </w:pPr>
      <w:r>
        <w:t>La procédure est conduite en une phase unique : les candidats remettent simultanément leur candidature et leur offre. L’autorité concédante vérifie les candidatures, puis analyse les offres des candidats admis. Elle peut demander des compléments de candidature, des précisions sur les offres, organiser des auditions et négocier.</w:t>
      </w:r>
    </w:p>
    <w:p w14:paraId="6A9BB420" w14:textId="77777777" w:rsidR="00002907" w:rsidRDefault="00000000">
      <w:pPr>
        <w:pStyle w:val="Titre2"/>
      </w:pPr>
      <w:r>
        <w:t>2.2 – Attribution globale et lots techniques</w:t>
      </w:r>
    </w:p>
    <w:p w14:paraId="725A0E68" w14:textId="77777777" w:rsidR="00002907" w:rsidRDefault="00000000">
      <w:pPr>
        <w:jc w:val="both"/>
      </w:pPr>
      <w:r>
        <w:t>Il n’est pas procédé à un allotissement juridique. La concession est attribuée à un opérateur unique ou à un groupement. Les prestations sont néanmoins décomposées en trois lots techniques pour la rédaction des CCTP, le mémoire et la DPGF : lot technique n° 1 – désamiantage ; lot technique n° 2 – couverture ; lot technique n° 3 – centrale photovoltaïque.</w:t>
      </w:r>
    </w:p>
    <w:p w14:paraId="03E7A35F" w14:textId="77777777" w:rsidR="00002907" w:rsidRDefault="00000000">
      <w:pPr>
        <w:pStyle w:val="Titre2"/>
      </w:pPr>
      <w:r>
        <w:t>2.3 – Calendrier indicatif</w:t>
      </w:r>
    </w:p>
    <w:tbl>
      <w:tblPr>
        <w:tblW w:w="0" w:type="auto"/>
        <w:jc w:val="center"/>
        <w:tblLayout w:type="fixed"/>
        <w:tblLook w:val="04A0" w:firstRow="1" w:lastRow="0" w:firstColumn="1" w:lastColumn="0" w:noHBand="0" w:noVBand="1"/>
      </w:tblPr>
      <w:tblGrid>
        <w:gridCol w:w="3969"/>
        <w:gridCol w:w="6066"/>
      </w:tblGrid>
      <w:tr w:rsidR="00002907" w14:paraId="7D7C7033" w14:textId="77777777">
        <w:trPr>
          <w:tblHeader/>
          <w:jc w:val="center"/>
        </w:trPr>
        <w:tc>
          <w:tcPr>
            <w:tcW w:w="3969" w:type="dxa"/>
            <w:tcBorders>
              <w:top w:val="single" w:sz="6" w:space="0" w:color="FFFFFF"/>
              <w:left w:val="single" w:sz="6" w:space="0" w:color="FFFFFF"/>
              <w:bottom w:val="single" w:sz="6" w:space="0" w:color="FFFFFF"/>
              <w:right w:val="single" w:sz="6" w:space="0" w:color="FFFFFF"/>
            </w:tcBorders>
            <w:shd w:val="clear" w:color="auto" w:fill="1F4E79"/>
            <w:tcMar>
              <w:top w:w="100" w:type="dxa"/>
              <w:left w:w="100" w:type="dxa"/>
              <w:bottom w:w="100" w:type="dxa"/>
              <w:right w:w="100" w:type="dxa"/>
            </w:tcMar>
            <w:vAlign w:val="center"/>
          </w:tcPr>
          <w:p w14:paraId="68732317" w14:textId="77777777" w:rsidR="00002907" w:rsidRDefault="00000000">
            <w:pPr>
              <w:spacing w:after="0"/>
              <w:jc w:val="center"/>
            </w:pPr>
            <w:r>
              <w:rPr>
                <w:b/>
                <w:color w:val="FFFFFF"/>
                <w:sz w:val="17"/>
              </w:rPr>
              <w:t>Étape</w:t>
            </w:r>
          </w:p>
        </w:tc>
        <w:tc>
          <w:tcPr>
            <w:tcW w:w="6066" w:type="dxa"/>
            <w:tcBorders>
              <w:top w:val="single" w:sz="6" w:space="0" w:color="FFFFFF"/>
              <w:left w:val="single" w:sz="6" w:space="0" w:color="FFFFFF"/>
              <w:bottom w:val="single" w:sz="6" w:space="0" w:color="FFFFFF"/>
              <w:right w:val="single" w:sz="6" w:space="0" w:color="FFFFFF"/>
            </w:tcBorders>
            <w:shd w:val="clear" w:color="auto" w:fill="1F4E79"/>
            <w:tcMar>
              <w:top w:w="100" w:type="dxa"/>
              <w:left w:w="100" w:type="dxa"/>
              <w:bottom w:w="100" w:type="dxa"/>
              <w:right w:w="100" w:type="dxa"/>
            </w:tcMar>
            <w:vAlign w:val="center"/>
          </w:tcPr>
          <w:p w14:paraId="2416104F" w14:textId="77777777" w:rsidR="00002907" w:rsidRDefault="00000000">
            <w:pPr>
              <w:spacing w:after="0"/>
              <w:jc w:val="center"/>
            </w:pPr>
            <w:r>
              <w:rPr>
                <w:b/>
                <w:color w:val="FFFFFF"/>
                <w:sz w:val="17"/>
              </w:rPr>
              <w:t>Date indicative</w:t>
            </w:r>
          </w:p>
        </w:tc>
      </w:tr>
      <w:tr w:rsidR="00002907" w14:paraId="28C94218" w14:textId="77777777">
        <w:trPr>
          <w:cantSplit/>
          <w:jc w:val="center"/>
        </w:trPr>
        <w:tc>
          <w:tcPr>
            <w:tcW w:w="3969"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29E95C00" w14:textId="77777777" w:rsidR="00002907" w:rsidRDefault="00000000">
            <w:pPr>
              <w:spacing w:after="0"/>
              <w:jc w:val="center"/>
            </w:pPr>
            <w:r>
              <w:rPr>
                <w:sz w:val="17"/>
              </w:rPr>
              <w:t>Publication</w:t>
            </w:r>
          </w:p>
        </w:tc>
        <w:tc>
          <w:tcPr>
            <w:tcW w:w="6066"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787B2F0F" w14:textId="3EEC72D9" w:rsidR="00002907" w:rsidRDefault="00000000">
            <w:pPr>
              <w:spacing w:after="0"/>
            </w:pPr>
            <w:r>
              <w:rPr>
                <w:sz w:val="17"/>
              </w:rPr>
              <w:t xml:space="preserve">Lundi </w:t>
            </w:r>
            <w:r w:rsidR="001F6A5D">
              <w:rPr>
                <w:sz w:val="17"/>
              </w:rPr>
              <w:t>12</w:t>
            </w:r>
            <w:r>
              <w:rPr>
                <w:sz w:val="17"/>
              </w:rPr>
              <w:t xml:space="preserve"> </w:t>
            </w:r>
            <w:proofErr w:type="spellStart"/>
            <w:r w:rsidR="001F6A5D">
              <w:rPr>
                <w:sz w:val="17"/>
              </w:rPr>
              <w:t>octobre</w:t>
            </w:r>
            <w:proofErr w:type="spellEnd"/>
            <w:r>
              <w:rPr>
                <w:sz w:val="17"/>
              </w:rPr>
              <w:t xml:space="preserve"> 2026</w:t>
            </w:r>
          </w:p>
        </w:tc>
      </w:tr>
      <w:tr w:rsidR="00002907" w14:paraId="61FEE7D4" w14:textId="77777777">
        <w:trPr>
          <w:cantSplit/>
          <w:jc w:val="center"/>
        </w:trPr>
        <w:tc>
          <w:tcPr>
            <w:tcW w:w="3969"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4BF95F12" w14:textId="77777777" w:rsidR="00002907" w:rsidRDefault="00000000">
            <w:pPr>
              <w:spacing w:after="0"/>
              <w:jc w:val="center"/>
            </w:pPr>
            <w:r>
              <w:rPr>
                <w:sz w:val="17"/>
              </w:rPr>
              <w:t>Visites</w:t>
            </w:r>
          </w:p>
        </w:tc>
        <w:tc>
          <w:tcPr>
            <w:tcW w:w="6066"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38C112E7" w14:textId="07318434" w:rsidR="00002907" w:rsidRDefault="001F6A5D">
            <w:pPr>
              <w:spacing w:after="0"/>
            </w:pPr>
            <w:r>
              <w:rPr>
                <w:sz w:val="17"/>
              </w:rPr>
              <w:t xml:space="preserve">21 </w:t>
            </w:r>
            <w:proofErr w:type="spellStart"/>
            <w:r>
              <w:rPr>
                <w:sz w:val="17"/>
              </w:rPr>
              <w:t>octobre</w:t>
            </w:r>
            <w:proofErr w:type="spellEnd"/>
            <w:r>
              <w:rPr>
                <w:sz w:val="17"/>
              </w:rPr>
              <w:t xml:space="preserve"> 2026 à 14 h 00</w:t>
            </w:r>
          </w:p>
        </w:tc>
      </w:tr>
      <w:tr w:rsidR="00002907" w14:paraId="0F496E3C" w14:textId="77777777">
        <w:trPr>
          <w:cantSplit/>
          <w:jc w:val="center"/>
        </w:trPr>
        <w:tc>
          <w:tcPr>
            <w:tcW w:w="3969"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0B10ADE6" w14:textId="77777777" w:rsidR="00002907" w:rsidRDefault="00000000">
            <w:pPr>
              <w:spacing w:after="0"/>
              <w:jc w:val="center"/>
            </w:pPr>
            <w:r>
              <w:rPr>
                <w:sz w:val="17"/>
              </w:rPr>
              <w:t>Questions</w:t>
            </w:r>
          </w:p>
        </w:tc>
        <w:tc>
          <w:tcPr>
            <w:tcW w:w="6066"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19EC0A07" w14:textId="674AED91" w:rsidR="00002907" w:rsidRDefault="001F6A5D">
            <w:pPr>
              <w:spacing w:after="0"/>
            </w:pPr>
            <w:r>
              <w:rPr>
                <w:sz w:val="17"/>
              </w:rPr>
              <w:t xml:space="preserve">30 </w:t>
            </w:r>
            <w:proofErr w:type="spellStart"/>
            <w:r>
              <w:rPr>
                <w:sz w:val="17"/>
              </w:rPr>
              <w:t>octobre</w:t>
            </w:r>
            <w:proofErr w:type="spellEnd"/>
            <w:r>
              <w:rPr>
                <w:sz w:val="17"/>
              </w:rPr>
              <w:t xml:space="preserve"> 2026 à 12 h 00 au plus tard</w:t>
            </w:r>
          </w:p>
        </w:tc>
      </w:tr>
      <w:tr w:rsidR="00002907" w14:paraId="16E61EC0" w14:textId="77777777">
        <w:trPr>
          <w:cantSplit/>
          <w:jc w:val="center"/>
        </w:trPr>
        <w:tc>
          <w:tcPr>
            <w:tcW w:w="3969"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0F16B669" w14:textId="77777777" w:rsidR="00002907" w:rsidRDefault="00000000">
            <w:pPr>
              <w:spacing w:after="0"/>
              <w:jc w:val="center"/>
            </w:pPr>
            <w:r>
              <w:rPr>
                <w:sz w:val="17"/>
              </w:rPr>
              <w:t>Réponses</w:t>
            </w:r>
          </w:p>
        </w:tc>
        <w:tc>
          <w:tcPr>
            <w:tcW w:w="6066"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75609FFA" w14:textId="76077472" w:rsidR="00002907" w:rsidRDefault="001F6A5D">
            <w:pPr>
              <w:spacing w:after="0"/>
            </w:pPr>
            <w:r>
              <w:rPr>
                <w:sz w:val="17"/>
              </w:rPr>
              <w:t xml:space="preserve">3 </w:t>
            </w:r>
            <w:proofErr w:type="spellStart"/>
            <w:r>
              <w:rPr>
                <w:sz w:val="17"/>
              </w:rPr>
              <w:t>novembre</w:t>
            </w:r>
            <w:proofErr w:type="spellEnd"/>
            <w:r>
              <w:rPr>
                <w:sz w:val="17"/>
              </w:rPr>
              <w:t xml:space="preserve"> 2026 au plus tard</w:t>
            </w:r>
          </w:p>
        </w:tc>
      </w:tr>
      <w:tr w:rsidR="00002907" w14:paraId="7EB76DCC" w14:textId="77777777">
        <w:trPr>
          <w:cantSplit/>
          <w:jc w:val="center"/>
        </w:trPr>
        <w:tc>
          <w:tcPr>
            <w:tcW w:w="3969"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15367901" w14:textId="77777777" w:rsidR="00002907" w:rsidRDefault="00000000">
            <w:pPr>
              <w:spacing w:after="0"/>
              <w:jc w:val="center"/>
            </w:pPr>
            <w:r>
              <w:rPr>
                <w:sz w:val="17"/>
              </w:rPr>
              <w:t>Remise des plis</w:t>
            </w:r>
          </w:p>
        </w:tc>
        <w:tc>
          <w:tcPr>
            <w:tcW w:w="6066"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65CCD941" w14:textId="05501BD8" w:rsidR="00002907" w:rsidRDefault="00000000">
            <w:pPr>
              <w:spacing w:after="0"/>
            </w:pPr>
            <w:proofErr w:type="spellStart"/>
            <w:r>
              <w:rPr>
                <w:sz w:val="17"/>
              </w:rPr>
              <w:t>Vendredi</w:t>
            </w:r>
            <w:proofErr w:type="spellEnd"/>
            <w:r>
              <w:rPr>
                <w:sz w:val="17"/>
              </w:rPr>
              <w:t xml:space="preserve"> </w:t>
            </w:r>
            <w:r w:rsidR="001F6A5D">
              <w:rPr>
                <w:sz w:val="17"/>
              </w:rPr>
              <w:t>13</w:t>
            </w:r>
            <w:r>
              <w:rPr>
                <w:sz w:val="17"/>
              </w:rPr>
              <w:t xml:space="preserve"> </w:t>
            </w:r>
            <w:proofErr w:type="spellStart"/>
            <w:r w:rsidR="001F6A5D">
              <w:rPr>
                <w:sz w:val="17"/>
              </w:rPr>
              <w:t>novembre</w:t>
            </w:r>
            <w:proofErr w:type="spellEnd"/>
            <w:r>
              <w:rPr>
                <w:sz w:val="17"/>
              </w:rPr>
              <w:t xml:space="preserve"> 2026 à 18 h 00</w:t>
            </w:r>
          </w:p>
        </w:tc>
      </w:tr>
      <w:tr w:rsidR="00002907" w14:paraId="2B769D84" w14:textId="77777777">
        <w:trPr>
          <w:cantSplit/>
          <w:jc w:val="center"/>
        </w:trPr>
        <w:tc>
          <w:tcPr>
            <w:tcW w:w="3969"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5DFC2D7C" w14:textId="77777777" w:rsidR="00002907" w:rsidRDefault="00000000">
            <w:pPr>
              <w:spacing w:after="0"/>
              <w:jc w:val="center"/>
            </w:pPr>
            <w:r>
              <w:rPr>
                <w:sz w:val="17"/>
              </w:rPr>
              <w:t>Analyse initiale</w:t>
            </w:r>
          </w:p>
        </w:tc>
        <w:tc>
          <w:tcPr>
            <w:tcW w:w="6066"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2E69C9FC" w14:textId="5F23C3AC" w:rsidR="00002907" w:rsidRDefault="001F6A5D">
            <w:pPr>
              <w:spacing w:after="0"/>
            </w:pPr>
            <w:r>
              <w:rPr>
                <w:sz w:val="17"/>
              </w:rPr>
              <w:t xml:space="preserve">16 au 20 </w:t>
            </w:r>
            <w:proofErr w:type="spellStart"/>
            <w:r>
              <w:rPr>
                <w:sz w:val="17"/>
              </w:rPr>
              <w:t>novembre</w:t>
            </w:r>
            <w:proofErr w:type="spellEnd"/>
            <w:r>
              <w:rPr>
                <w:sz w:val="17"/>
              </w:rPr>
              <w:t xml:space="preserve"> 2026</w:t>
            </w:r>
          </w:p>
        </w:tc>
      </w:tr>
      <w:tr w:rsidR="00002907" w14:paraId="0394625C" w14:textId="77777777">
        <w:trPr>
          <w:cantSplit/>
          <w:jc w:val="center"/>
        </w:trPr>
        <w:tc>
          <w:tcPr>
            <w:tcW w:w="3969"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0085AA0C" w14:textId="77777777" w:rsidR="00002907" w:rsidRDefault="00000000">
            <w:pPr>
              <w:spacing w:after="0"/>
              <w:jc w:val="center"/>
            </w:pPr>
            <w:r>
              <w:rPr>
                <w:sz w:val="17"/>
              </w:rPr>
              <w:t>Auditions / négociations éventuelles</w:t>
            </w:r>
          </w:p>
        </w:tc>
        <w:tc>
          <w:tcPr>
            <w:tcW w:w="6066"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22D940B7" w14:textId="0667FB82" w:rsidR="00002907" w:rsidRDefault="0097209D">
            <w:pPr>
              <w:spacing w:after="0"/>
            </w:pPr>
            <w:r>
              <w:rPr>
                <w:sz w:val="17"/>
              </w:rPr>
              <w:t xml:space="preserve">23 au </w:t>
            </w:r>
            <w:r w:rsidR="001F6A5D">
              <w:rPr>
                <w:sz w:val="17"/>
              </w:rPr>
              <w:t>2</w:t>
            </w:r>
            <w:r>
              <w:rPr>
                <w:sz w:val="17"/>
              </w:rPr>
              <w:t xml:space="preserve">7 </w:t>
            </w:r>
            <w:proofErr w:type="spellStart"/>
            <w:r w:rsidR="001F6A5D">
              <w:rPr>
                <w:sz w:val="17"/>
              </w:rPr>
              <w:t>novembre</w:t>
            </w:r>
            <w:proofErr w:type="spellEnd"/>
            <w:r>
              <w:rPr>
                <w:sz w:val="17"/>
              </w:rPr>
              <w:t xml:space="preserve"> 2026</w:t>
            </w:r>
          </w:p>
        </w:tc>
      </w:tr>
      <w:tr w:rsidR="00002907" w14:paraId="6EBC0833" w14:textId="77777777">
        <w:trPr>
          <w:cantSplit/>
          <w:jc w:val="center"/>
        </w:trPr>
        <w:tc>
          <w:tcPr>
            <w:tcW w:w="3969"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6E8E1309" w14:textId="77777777" w:rsidR="00002907" w:rsidRDefault="00000000">
            <w:pPr>
              <w:spacing w:after="0"/>
              <w:jc w:val="center"/>
            </w:pPr>
            <w:r>
              <w:rPr>
                <w:sz w:val="17"/>
              </w:rPr>
              <w:t>Offres finales éventuelles</w:t>
            </w:r>
          </w:p>
        </w:tc>
        <w:tc>
          <w:tcPr>
            <w:tcW w:w="6066"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5B7D3DE3" w14:textId="7119A48E" w:rsidR="00002907" w:rsidRDefault="0097209D">
            <w:pPr>
              <w:spacing w:after="0"/>
            </w:pPr>
            <w:r>
              <w:rPr>
                <w:sz w:val="17"/>
              </w:rPr>
              <w:t xml:space="preserve">30 </w:t>
            </w:r>
            <w:proofErr w:type="spellStart"/>
            <w:r w:rsidR="001F6A5D">
              <w:rPr>
                <w:sz w:val="17"/>
              </w:rPr>
              <w:t>novembre</w:t>
            </w:r>
            <w:proofErr w:type="spellEnd"/>
            <w:r>
              <w:rPr>
                <w:sz w:val="17"/>
              </w:rPr>
              <w:t xml:space="preserve"> 2026 à 18 h 00</w:t>
            </w:r>
          </w:p>
        </w:tc>
      </w:tr>
      <w:tr w:rsidR="00002907" w14:paraId="3A71D24C" w14:textId="77777777">
        <w:trPr>
          <w:cantSplit/>
          <w:jc w:val="center"/>
        </w:trPr>
        <w:tc>
          <w:tcPr>
            <w:tcW w:w="3969"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3E938B75" w14:textId="77777777" w:rsidR="00002907" w:rsidRDefault="00000000">
            <w:pPr>
              <w:spacing w:after="0"/>
              <w:jc w:val="center"/>
            </w:pPr>
            <w:r>
              <w:rPr>
                <w:sz w:val="17"/>
              </w:rPr>
              <w:t>Avis de la commission concession</w:t>
            </w:r>
          </w:p>
        </w:tc>
        <w:tc>
          <w:tcPr>
            <w:tcW w:w="6066"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3D59D5F4" w14:textId="5FAFAE6A" w:rsidR="00002907" w:rsidRDefault="00000000">
            <w:pPr>
              <w:spacing w:after="0"/>
            </w:pPr>
            <w:r>
              <w:rPr>
                <w:sz w:val="17"/>
              </w:rPr>
              <w:t xml:space="preserve">Fin </w:t>
            </w:r>
            <w:proofErr w:type="spellStart"/>
            <w:r w:rsidR="001F6A5D">
              <w:rPr>
                <w:sz w:val="17"/>
              </w:rPr>
              <w:t>novembre</w:t>
            </w:r>
            <w:proofErr w:type="spellEnd"/>
            <w:r>
              <w:rPr>
                <w:sz w:val="17"/>
              </w:rPr>
              <w:t xml:space="preserve"> / début </w:t>
            </w:r>
            <w:proofErr w:type="spellStart"/>
            <w:r w:rsidR="001F6A5D">
              <w:rPr>
                <w:sz w:val="17"/>
              </w:rPr>
              <w:t>décembre</w:t>
            </w:r>
            <w:proofErr w:type="spellEnd"/>
            <w:r>
              <w:rPr>
                <w:sz w:val="17"/>
              </w:rPr>
              <w:t xml:space="preserve"> 2026</w:t>
            </w:r>
          </w:p>
        </w:tc>
      </w:tr>
      <w:tr w:rsidR="00002907" w14:paraId="07DFCF75" w14:textId="77777777">
        <w:trPr>
          <w:cantSplit/>
          <w:jc w:val="center"/>
        </w:trPr>
        <w:tc>
          <w:tcPr>
            <w:tcW w:w="3969"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3B9D9396" w14:textId="77777777" w:rsidR="00002907" w:rsidRDefault="00000000">
            <w:pPr>
              <w:spacing w:after="0"/>
              <w:jc w:val="center"/>
            </w:pPr>
            <w:r>
              <w:rPr>
                <w:sz w:val="17"/>
              </w:rPr>
              <w:t>Délibération et signature</w:t>
            </w:r>
          </w:p>
        </w:tc>
        <w:tc>
          <w:tcPr>
            <w:tcW w:w="6066"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2733C380" w14:textId="77777777" w:rsidR="00002907" w:rsidRDefault="00000000">
            <w:pPr>
              <w:spacing w:after="0"/>
            </w:pPr>
            <w:r>
              <w:rPr>
                <w:sz w:val="17"/>
              </w:rPr>
              <w:t>Selon calendrier du conseil municipal et finalisation notariale</w:t>
            </w:r>
          </w:p>
        </w:tc>
      </w:tr>
    </w:tbl>
    <w:p w14:paraId="302679B2" w14:textId="77777777" w:rsidR="00002907" w:rsidRDefault="00002907">
      <w:pPr>
        <w:spacing w:after="0"/>
      </w:pPr>
    </w:p>
    <w:p w14:paraId="4F17725C" w14:textId="77777777" w:rsidR="00002907" w:rsidRDefault="00000000">
      <w:pPr>
        <w:pStyle w:val="Small"/>
        <w:jc w:val="both"/>
      </w:pPr>
      <w:r>
        <w:rPr>
          <w:i/>
        </w:rPr>
        <w:t>Ce calendrier, hors date limite de remise des plis, est indicatif et n’emporte aucun engagement de l’autorité concédante.</w:t>
      </w:r>
    </w:p>
    <w:p w14:paraId="518B2550" w14:textId="77777777" w:rsidR="00002907" w:rsidRDefault="00000000">
      <w:pPr>
        <w:pStyle w:val="Titre2"/>
      </w:pPr>
      <w:r>
        <w:t>2.4 – Durée de validité des offres</w:t>
      </w:r>
    </w:p>
    <w:p w14:paraId="62234B7F" w14:textId="77777777" w:rsidR="00002907" w:rsidRDefault="00000000">
      <w:pPr>
        <w:jc w:val="both"/>
      </w:pPr>
      <w:r>
        <w:t>Les offres sont valables pendant 180 jours à compter de la date limite de réception. Cette durée peut être prorogée avec l’accord écrit des soumissionnaires concernés.</w:t>
      </w:r>
    </w:p>
    <w:p w14:paraId="7F143461" w14:textId="77777777" w:rsidR="00002907" w:rsidRDefault="00000000">
      <w:pPr>
        <w:pStyle w:val="Titre2"/>
      </w:pPr>
      <w:r>
        <w:t>2.5 – Variantes</w:t>
      </w:r>
    </w:p>
    <w:p w14:paraId="452A66FF" w14:textId="77777777" w:rsidR="00002907" w:rsidRDefault="00000000">
      <w:pPr>
        <w:jc w:val="both"/>
      </w:pPr>
      <w:r>
        <w:t>Une offre de base conforme au programme est obligatoire. Les variantes sont autorisées uniquement si elles sont présentées séparément et si elles ne remettent pas en cause les exigences minimales. Elles peuvent notamment porter sur la puissance installée, la technologie des modules et onduleurs, le schéma de raccordement, l’architecture des postes, les renforcements de structure, la stratégie de valorisation de l’électricité ou le calendrier.</w:t>
      </w:r>
    </w:p>
    <w:p w14:paraId="06BE24EC" w14:textId="77777777" w:rsidR="00002907" w:rsidRDefault="00000000">
      <w:pPr>
        <w:jc w:val="both"/>
      </w:pPr>
      <w:r>
        <w:t>La configuration de référence est d’environ 498,2 kWc, sur la base de 1 060 modules de 470 Wc et de quatre onduleurs de 125 kW. Une puissance sensiblement inférieure n’est recevable que si le candidat démontre, calculs et plans à l’appui, qu’elle résulte des contraintes réelles de structure, de sécurité, d’incendie, de maintenance, des quatre lanterneaux, des traversées / sorties de toiture ou du raccordement. Une puissance supérieure peut être proposée si elle respecte toutes les exigences et reste compatible avec l’économie de la concession.</w:t>
      </w:r>
    </w:p>
    <w:p w14:paraId="479B34DF" w14:textId="77777777" w:rsidR="00002907" w:rsidRDefault="00000000">
      <w:pPr>
        <w:pStyle w:val="Titre2"/>
      </w:pPr>
      <w:r>
        <w:t>2.6 – Exigences minimales non négociables</w:t>
      </w:r>
    </w:p>
    <w:p w14:paraId="28481F43" w14:textId="77777777" w:rsidR="00002907" w:rsidRDefault="00000000">
      <w:pPr>
        <w:pStyle w:val="Listepuces"/>
        <w:spacing w:after="40"/>
        <w:ind w:left="283" w:hanging="113"/>
        <w:jc w:val="both"/>
      </w:pPr>
      <w:r>
        <w:t>absence de contribution financière de la Commune aux études, travaux, raccordement, exploitation, maintenance et renouvellement ;</w:t>
      </w:r>
    </w:p>
    <w:p w14:paraId="71E4156B" w14:textId="77777777" w:rsidR="00002907" w:rsidRDefault="00000000">
      <w:pPr>
        <w:pStyle w:val="Listepuces"/>
        <w:spacing w:after="40"/>
        <w:ind w:left="283" w:hanging="113"/>
        <w:jc w:val="both"/>
      </w:pPr>
      <w:r>
        <w:t>retrait et traitement complet de l’amiante compris dans le périmètre ;</w:t>
      </w:r>
    </w:p>
    <w:p w14:paraId="5616A008" w14:textId="77777777" w:rsidR="00002907" w:rsidRDefault="00000000">
      <w:pPr>
        <w:pStyle w:val="Listepuces"/>
        <w:spacing w:after="40"/>
        <w:ind w:left="283" w:hanging="113"/>
        <w:jc w:val="both"/>
      </w:pPr>
      <w:r>
        <w:t>réfection complète et durable de la couverture en bac acier, avec garantie et mise hors d’eau ;</w:t>
      </w:r>
    </w:p>
    <w:p w14:paraId="3D063DFB" w14:textId="77777777" w:rsidR="00002907" w:rsidRDefault="00000000">
      <w:pPr>
        <w:pStyle w:val="Listepuces"/>
      </w:pPr>
      <w:r>
        <w:lastRenderedPageBreak/>
        <w:t>traitement conforme de quatre lanterneaux, d’un passage de cheminée, d’un passage de VMC et de quatre sorties de ventilation haute ; maintien de la ventilation haute du hangar ;</w:t>
      </w:r>
    </w:p>
    <w:p w14:paraId="33848F51" w14:textId="77777777" w:rsidR="00002907" w:rsidRDefault="00000000">
      <w:pPr>
        <w:pStyle w:val="Listepuces"/>
      </w:pPr>
      <w:r>
        <w:t>dépose des plaques translucides ondulées existantes et remplacement par du bac acier opaque ; aucune plaque translucide n’est à reposer ;</w:t>
      </w:r>
    </w:p>
    <w:p w14:paraId="7F7AD4B0" w14:textId="77777777" w:rsidR="00002907" w:rsidRDefault="00000000">
      <w:pPr>
        <w:pStyle w:val="Listepuces"/>
        <w:spacing w:after="40"/>
        <w:ind w:left="283" w:hanging="113"/>
        <w:jc w:val="both"/>
      </w:pPr>
      <w:r>
        <w:t>transfert gratuit de l’installation à la Commune au terme, libre de sûreté et en état normal de fonctionnement ;</w:t>
      </w:r>
    </w:p>
    <w:p w14:paraId="263E61F8" w14:textId="77777777" w:rsidR="00002907" w:rsidRDefault="00000000">
      <w:pPr>
        <w:pStyle w:val="Listepuces"/>
        <w:spacing w:after="40"/>
        <w:ind w:left="283" w:hanging="113"/>
        <w:jc w:val="both"/>
      </w:pPr>
      <w:r>
        <w:t>respect des prescriptions de sécurité, d’environnement, de droit du travail et de traçabilité des déchets ;</w:t>
      </w:r>
    </w:p>
    <w:p w14:paraId="42412EA7" w14:textId="77777777" w:rsidR="00002907" w:rsidRDefault="00000000">
      <w:pPr>
        <w:pStyle w:val="Listepuces"/>
        <w:spacing w:after="40"/>
        <w:ind w:left="283" w:hanging="113"/>
        <w:jc w:val="both"/>
      </w:pPr>
      <w:r>
        <w:t>maintien de l’activité des ateliers selon le phasage validé ;</w:t>
      </w:r>
    </w:p>
    <w:p w14:paraId="59A7820D" w14:textId="77777777" w:rsidR="00002907" w:rsidRDefault="00000000">
      <w:pPr>
        <w:pStyle w:val="Listepuces"/>
        <w:spacing w:after="40"/>
        <w:ind w:left="283" w:hanging="113"/>
        <w:jc w:val="both"/>
      </w:pPr>
      <w:r>
        <w:t>prise en charge du risque d’exploitation et absence de garantie communale de production ou de recettes.</w:t>
      </w:r>
    </w:p>
    <w:p w14:paraId="0A350E35" w14:textId="77777777" w:rsidR="00002907" w:rsidRDefault="00000000">
      <w:pPr>
        <w:pStyle w:val="LegalArticle"/>
      </w:pPr>
      <w:r>
        <w:t>Article 3 – Contenu du DCE et modifications</w:t>
      </w:r>
    </w:p>
    <w:p w14:paraId="306EC6CB" w14:textId="77777777" w:rsidR="00002907" w:rsidRDefault="00000000">
      <w:pPr>
        <w:pStyle w:val="Titre2"/>
      </w:pPr>
      <w:r>
        <w:t>3.1 – Pièces remises</w:t>
      </w:r>
    </w:p>
    <w:p w14:paraId="24CD34C9" w14:textId="77777777" w:rsidR="00002907" w:rsidRDefault="00000000">
      <w:pPr>
        <w:pStyle w:val="Listepuces"/>
        <w:spacing w:after="40"/>
        <w:ind w:left="283" w:hanging="113"/>
        <w:jc w:val="both"/>
      </w:pPr>
      <w:r>
        <w:t>avis de concession ; règlement de consultation ; acte d’engagement ;</w:t>
      </w:r>
    </w:p>
    <w:p w14:paraId="6F6ED118" w14:textId="77777777" w:rsidR="00002907" w:rsidRDefault="00000000">
      <w:pPr>
        <w:pStyle w:val="Listepuces"/>
        <w:spacing w:after="40"/>
        <w:ind w:left="283" w:hanging="113"/>
        <w:jc w:val="both"/>
      </w:pPr>
      <w:r>
        <w:t>CCAP, projet de convention de concession et projet de bail emphytéotique administratif non détachable ;</w:t>
      </w:r>
    </w:p>
    <w:p w14:paraId="095869E7" w14:textId="77777777" w:rsidR="00002907" w:rsidRDefault="00000000">
      <w:pPr>
        <w:pStyle w:val="Listepuces"/>
        <w:spacing w:after="40"/>
        <w:ind w:left="283" w:hanging="113"/>
        <w:jc w:val="both"/>
      </w:pPr>
      <w:r>
        <w:t>trois CCTP, cadre de mémoire technique, cadre de candidature et attestation de visite ;</w:t>
      </w:r>
    </w:p>
    <w:p w14:paraId="1FE370DA" w14:textId="77777777" w:rsidR="00002907" w:rsidRDefault="00000000">
      <w:pPr>
        <w:pStyle w:val="Listepuces"/>
        <w:spacing w:after="40"/>
        <w:ind w:left="283" w:hanging="113"/>
        <w:jc w:val="both"/>
      </w:pPr>
      <w:r>
        <w:t>DPGF et modèle économique ;</w:t>
      </w:r>
    </w:p>
    <w:p w14:paraId="736D1BEE" w14:textId="77777777" w:rsidR="00002907" w:rsidRDefault="00000000">
      <w:pPr>
        <w:pStyle w:val="Listepuces"/>
        <w:spacing w:after="40"/>
        <w:ind w:left="283" w:hanging="113"/>
        <w:jc w:val="both"/>
      </w:pPr>
      <w:r>
        <w:t>annexes techniques disponibles listées dans la pièce 00, comprenant notamment les plans / coupes / façades, les vues extérieures, le DTA 2016 et la note technique V2 de relevé de toiture ;</w:t>
      </w:r>
    </w:p>
    <w:p w14:paraId="3BD57744" w14:textId="77777777" w:rsidR="00002907" w:rsidRDefault="00000000">
      <w:pPr>
        <w:pStyle w:val="Titre2"/>
      </w:pPr>
      <w:r>
        <w:t>3.2 – Retrait du dossier</w:t>
      </w:r>
    </w:p>
    <w:p w14:paraId="074D44A6" w14:textId="77777777" w:rsidR="00002907" w:rsidRDefault="00000000">
      <w:pPr>
        <w:jc w:val="both"/>
      </w:pPr>
      <w:r>
        <w:t>Le DCE est disponible gratuitement et intégralement sur le profil d’acheteur. L’identification du téléchargement est fortement recommandée afin de recevoir les modifications et réponses aux questions.</w:t>
      </w:r>
    </w:p>
    <w:p w14:paraId="3A4F38B8" w14:textId="77777777" w:rsidR="00002907" w:rsidRDefault="00000000">
      <w:pPr>
        <w:pStyle w:val="Titre2"/>
      </w:pPr>
      <w:r>
        <w:t>3.3 – Modifications</w:t>
      </w:r>
    </w:p>
    <w:p w14:paraId="0C3FCF53" w14:textId="77777777" w:rsidR="00002907" w:rsidRDefault="00000000">
      <w:pPr>
        <w:jc w:val="both"/>
      </w:pPr>
      <w:r>
        <w:t>La Commune peut modifier le DCE au plus tard dix jours calendaires avant la date limite de remise des offres. Les candidats répondent sur la base du dossier modifié. Lorsque l’importance d’une modification le justifie, la date limite est reportée.</w:t>
      </w:r>
    </w:p>
    <w:p w14:paraId="07016CE3" w14:textId="77777777" w:rsidR="00002907" w:rsidRDefault="00000000">
      <w:pPr>
        <w:pStyle w:val="Titre2"/>
      </w:pPr>
      <w:r>
        <w:t>3.4 – Demandes de renseignements</w:t>
      </w:r>
    </w:p>
    <w:p w14:paraId="5CBAE9C0" w14:textId="77777777" w:rsidR="00002907" w:rsidRDefault="00000000">
      <w:pPr>
        <w:jc w:val="both"/>
      </w:pPr>
      <w:r>
        <w:t>Les demandes sont adressées exclusivement via le profil d’acheteur au plus tard le 25 août 2026 à 12 h 00. Une réponse est mise à disposition au plus tard le 28 août 2026. Les échanges directs avec les élus ou agents en dehors du canal officiel ne peuvent modifier le DCE ni engager la Commune.</w:t>
      </w:r>
    </w:p>
    <w:p w14:paraId="09A647D1" w14:textId="77777777" w:rsidR="00002907" w:rsidRDefault="00000000">
      <w:pPr>
        <w:pStyle w:val="LegalArticle"/>
      </w:pPr>
      <w:r>
        <w:t>Article 4 – Conditions de participation et forme des candidatures</w:t>
      </w:r>
    </w:p>
    <w:p w14:paraId="4B1DC0F7" w14:textId="77777777" w:rsidR="00002907" w:rsidRDefault="00000000">
      <w:pPr>
        <w:pStyle w:val="Titre2"/>
      </w:pPr>
      <w:r>
        <w:t>4.1 – Candidat individuel, groupement et société de projet</w:t>
      </w:r>
    </w:p>
    <w:p w14:paraId="4F80ABBB" w14:textId="77777777" w:rsidR="00002907" w:rsidRDefault="00000000">
      <w:pPr>
        <w:jc w:val="both"/>
      </w:pPr>
      <w:r>
        <w:t>Les candidats peuvent se présenter seuls ou en groupement conjoint ou solidaire. Aucune forme n’est imposée au stade du dépôt. Après attribution, la Commune pourra exiger un groupement conjoint avec mandataire solidaire, afin d’assurer l’unicité de responsabilité sur les interfaces entre désamiantage, couverture et photovoltaïque.</w:t>
      </w:r>
    </w:p>
    <w:p w14:paraId="16490345" w14:textId="77777777" w:rsidR="00002907" w:rsidRDefault="00000000">
      <w:pPr>
        <w:jc w:val="both"/>
      </w:pPr>
      <w:r>
        <w:t>La création d’une société de projet dédiée est admise après attribution, sous réserve de l’accord préalable de la Commune, du maintien des capacités ayant fondé la sélection et de garanties directes, solidaires ou autonomes des sociétés mères jusqu’à l’achèvement des travaux et pendant la période prévue au contrat.</w:t>
      </w:r>
    </w:p>
    <w:p w14:paraId="0A0F3BD8" w14:textId="77777777" w:rsidR="00002907" w:rsidRDefault="00000000">
      <w:pPr>
        <w:pStyle w:val="Titre2"/>
      </w:pPr>
      <w:r>
        <w:t>4.2 – Interdictions de candidatures multiples</w:t>
      </w:r>
    </w:p>
    <w:p w14:paraId="057795C7" w14:textId="77777777" w:rsidR="00002907" w:rsidRDefault="00000000">
      <w:pPr>
        <w:jc w:val="both"/>
      </w:pPr>
      <w:r>
        <w:t>Un même opérateur ne peut présenter plusieurs offres en qualité de candidat individuel et de membre d’un ou plusieurs groupements, ni en qualité de membre de plusieurs groupements, sauf pour des entreprises dont l’intervention est limitée à une compétence spécialisée non déterminante et sous réserve de prévenir tout échange d’informations susceptible de fausser la concurrence.</w:t>
      </w:r>
    </w:p>
    <w:p w14:paraId="57B9B1A2" w14:textId="77777777" w:rsidR="00002907" w:rsidRDefault="00000000">
      <w:pPr>
        <w:pStyle w:val="Titre2"/>
      </w:pPr>
      <w:r>
        <w:t>4.3 – Tiers, sous-traitants et PME</w:t>
      </w:r>
    </w:p>
    <w:p w14:paraId="09E0727D" w14:textId="77777777" w:rsidR="00002907" w:rsidRDefault="00000000">
      <w:pPr>
        <w:jc w:val="both"/>
      </w:pPr>
      <w:r>
        <w:t>Le soumissionnaire indique les prestations qu’il entend confier à des tiers et le pourcentage correspondant dans la valeur estimée de la concession. La Commune impose qu’au moins 20 % de la valeur globale estimée soit confiée à des PME ou à des tiers, conformément aux documents de la consultation. Les membres du groupement et les entreprises qui leur sont liées ne sont pas comptabilisés comme tiers dans les conditions légales applicables.</w:t>
      </w:r>
    </w:p>
    <w:p w14:paraId="0294E8B3" w14:textId="77777777" w:rsidR="00002907" w:rsidRDefault="00000000">
      <w:pPr>
        <w:pStyle w:val="Titre2"/>
      </w:pPr>
      <w:r>
        <w:t>4.4 – Motifs d’exclusion</w:t>
      </w:r>
    </w:p>
    <w:p w14:paraId="25AFD2DA" w14:textId="77777777" w:rsidR="00002907" w:rsidRDefault="00000000">
      <w:pPr>
        <w:jc w:val="both"/>
      </w:pPr>
      <w:r>
        <w:t>Les candidats ne doivent relever d’aucun motif d’exclusion obligatoire ou facultative prévu par le Code de la commande publique. Ils produisent une déclaration sur l’honneur et, sur demande, les justificatifs correspondants.</w:t>
      </w:r>
    </w:p>
    <w:p w14:paraId="6538B509" w14:textId="77777777" w:rsidR="00002907" w:rsidRDefault="00000000">
      <w:pPr>
        <w:pStyle w:val="Titre2"/>
      </w:pPr>
      <w:r>
        <w:t>4.5 – Langue et monnaie</w:t>
      </w:r>
    </w:p>
    <w:p w14:paraId="4B8601D2" w14:textId="77777777" w:rsidR="00002907" w:rsidRDefault="00000000">
      <w:pPr>
        <w:jc w:val="both"/>
      </w:pPr>
      <w:r>
        <w:t>Les candidatures et offres sont rédigées en français. Les montants sont exprimés en euros hors taxes et toutes taxes comprises. Les documents techniques en langue étrangère sont accompagnés d’une traduction française suffisante pour leur analyse.</w:t>
      </w:r>
    </w:p>
    <w:p w14:paraId="6F00B02D" w14:textId="77777777" w:rsidR="00002907" w:rsidRDefault="00000000">
      <w:pPr>
        <w:pStyle w:val="LegalArticle"/>
      </w:pPr>
      <w:r>
        <w:lastRenderedPageBreak/>
        <w:t>Article 5 – Visite du site</w:t>
      </w:r>
    </w:p>
    <w:p w14:paraId="087394DA" w14:textId="77777777" w:rsidR="00002907" w:rsidRDefault="00000000">
      <w:pPr>
        <w:jc w:val="both"/>
      </w:pPr>
      <w:r>
        <w:t>La visite du site est obligatoire. Elle permet de prendre connaissance des accès, de l’activité des ateliers, de la configuration de la toiture de 2 360 m², des quatre lanterneaux, du passage de cheminée, du passage de VMC, des quatre sorties de ventilation haute, des plaques translucides à supprimer, des contraintes de levage, des emprises de chantier et des implantations possibles des équipements électriques.</w:t>
      </w:r>
    </w:p>
    <w:tbl>
      <w:tblPr>
        <w:tblW w:w="0" w:type="auto"/>
        <w:jc w:val="center"/>
        <w:tblLayout w:type="fixed"/>
        <w:tblLook w:val="04A0" w:firstRow="1" w:lastRow="0" w:firstColumn="1" w:lastColumn="0" w:noHBand="0" w:noVBand="1"/>
      </w:tblPr>
      <w:tblGrid>
        <w:gridCol w:w="2835"/>
        <w:gridCol w:w="2268"/>
        <w:gridCol w:w="4932"/>
      </w:tblGrid>
      <w:tr w:rsidR="00002907" w14:paraId="009FFB40" w14:textId="77777777">
        <w:trPr>
          <w:tblHeader/>
          <w:jc w:val="center"/>
        </w:trPr>
        <w:tc>
          <w:tcPr>
            <w:tcW w:w="2835" w:type="dxa"/>
            <w:tcBorders>
              <w:top w:val="single" w:sz="6" w:space="0" w:color="FFFFFF"/>
              <w:left w:val="single" w:sz="6" w:space="0" w:color="FFFFFF"/>
              <w:bottom w:val="single" w:sz="6" w:space="0" w:color="FFFFFF"/>
              <w:right w:val="single" w:sz="6" w:space="0" w:color="FFFFFF"/>
            </w:tcBorders>
            <w:shd w:val="clear" w:color="auto" w:fill="1F4E79"/>
            <w:tcMar>
              <w:top w:w="100" w:type="dxa"/>
              <w:left w:w="100" w:type="dxa"/>
              <w:bottom w:w="100" w:type="dxa"/>
              <w:right w:w="100" w:type="dxa"/>
            </w:tcMar>
            <w:vAlign w:val="center"/>
          </w:tcPr>
          <w:p w14:paraId="55223541" w14:textId="77777777" w:rsidR="00002907" w:rsidRDefault="00000000">
            <w:pPr>
              <w:spacing w:after="0"/>
              <w:jc w:val="center"/>
            </w:pPr>
            <w:r>
              <w:rPr>
                <w:b/>
                <w:color w:val="FFFFFF"/>
                <w:sz w:val="17"/>
              </w:rPr>
              <w:t>Date</w:t>
            </w:r>
          </w:p>
        </w:tc>
        <w:tc>
          <w:tcPr>
            <w:tcW w:w="2268" w:type="dxa"/>
            <w:tcBorders>
              <w:top w:val="single" w:sz="6" w:space="0" w:color="FFFFFF"/>
              <w:left w:val="single" w:sz="6" w:space="0" w:color="FFFFFF"/>
              <w:bottom w:val="single" w:sz="6" w:space="0" w:color="FFFFFF"/>
              <w:right w:val="single" w:sz="6" w:space="0" w:color="FFFFFF"/>
            </w:tcBorders>
            <w:shd w:val="clear" w:color="auto" w:fill="1F4E79"/>
            <w:tcMar>
              <w:top w:w="100" w:type="dxa"/>
              <w:left w:w="100" w:type="dxa"/>
              <w:bottom w:w="100" w:type="dxa"/>
              <w:right w:w="100" w:type="dxa"/>
            </w:tcMar>
            <w:vAlign w:val="center"/>
          </w:tcPr>
          <w:p w14:paraId="1C61D216" w14:textId="77777777" w:rsidR="00002907" w:rsidRDefault="00000000">
            <w:pPr>
              <w:spacing w:after="0"/>
              <w:jc w:val="center"/>
            </w:pPr>
            <w:r>
              <w:rPr>
                <w:b/>
                <w:color w:val="FFFFFF"/>
                <w:sz w:val="17"/>
              </w:rPr>
              <w:t>Horaire</w:t>
            </w:r>
          </w:p>
        </w:tc>
        <w:tc>
          <w:tcPr>
            <w:tcW w:w="4932" w:type="dxa"/>
            <w:tcBorders>
              <w:top w:val="single" w:sz="6" w:space="0" w:color="FFFFFF"/>
              <w:left w:val="single" w:sz="6" w:space="0" w:color="FFFFFF"/>
              <w:bottom w:val="single" w:sz="6" w:space="0" w:color="FFFFFF"/>
              <w:right w:val="single" w:sz="6" w:space="0" w:color="FFFFFF"/>
            </w:tcBorders>
            <w:shd w:val="clear" w:color="auto" w:fill="1F4E79"/>
            <w:tcMar>
              <w:top w:w="100" w:type="dxa"/>
              <w:left w:w="100" w:type="dxa"/>
              <w:bottom w:w="100" w:type="dxa"/>
              <w:right w:w="100" w:type="dxa"/>
            </w:tcMar>
            <w:vAlign w:val="center"/>
          </w:tcPr>
          <w:p w14:paraId="6FC556CD" w14:textId="77777777" w:rsidR="00002907" w:rsidRDefault="00000000">
            <w:pPr>
              <w:spacing w:after="0"/>
              <w:jc w:val="center"/>
            </w:pPr>
            <w:r>
              <w:rPr>
                <w:b/>
                <w:color w:val="FFFFFF"/>
                <w:sz w:val="17"/>
              </w:rPr>
              <w:t>Inscription</w:t>
            </w:r>
          </w:p>
        </w:tc>
      </w:tr>
      <w:tr w:rsidR="00002907" w14:paraId="7958DA97" w14:textId="77777777">
        <w:trPr>
          <w:cantSplit/>
          <w:jc w:val="center"/>
        </w:trPr>
        <w:tc>
          <w:tcPr>
            <w:tcW w:w="2835"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147674A2" w14:textId="3B35B7E6" w:rsidR="00002907" w:rsidRDefault="00516744">
            <w:pPr>
              <w:spacing w:after="0"/>
              <w:jc w:val="center"/>
            </w:pPr>
            <w:r>
              <w:rPr>
                <w:sz w:val="17"/>
              </w:rPr>
              <w:t xml:space="preserve">Mercredi 21 </w:t>
            </w:r>
            <w:proofErr w:type="spellStart"/>
            <w:r>
              <w:rPr>
                <w:sz w:val="17"/>
              </w:rPr>
              <w:t>octobre</w:t>
            </w:r>
            <w:proofErr w:type="spellEnd"/>
            <w:r>
              <w:rPr>
                <w:sz w:val="17"/>
              </w:rPr>
              <w:t xml:space="preserve"> 2026</w:t>
            </w:r>
          </w:p>
        </w:tc>
        <w:tc>
          <w:tcPr>
            <w:tcW w:w="2268"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1F652F0A" w14:textId="08D4E505" w:rsidR="00002907" w:rsidRDefault="00000000">
            <w:pPr>
              <w:spacing w:after="0"/>
            </w:pPr>
            <w:r>
              <w:rPr>
                <w:sz w:val="17"/>
              </w:rPr>
              <w:t>1</w:t>
            </w:r>
            <w:r w:rsidR="00516744">
              <w:rPr>
                <w:sz w:val="17"/>
              </w:rPr>
              <w:t>4</w:t>
            </w:r>
            <w:r>
              <w:rPr>
                <w:sz w:val="17"/>
              </w:rPr>
              <w:t xml:space="preserve"> h 00</w:t>
            </w:r>
          </w:p>
        </w:tc>
        <w:tc>
          <w:tcPr>
            <w:tcW w:w="4932"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07CA5CDA" w14:textId="77777777" w:rsidR="00002907" w:rsidRDefault="00000000">
            <w:pPr>
              <w:spacing w:after="0"/>
            </w:pPr>
            <w:r>
              <w:rPr>
                <w:sz w:val="17"/>
              </w:rPr>
              <w:t>Demande via le profil d’acheteur au moins 48 h avant</w:t>
            </w:r>
          </w:p>
        </w:tc>
      </w:tr>
    </w:tbl>
    <w:p w14:paraId="3422E82A" w14:textId="77777777" w:rsidR="00002907" w:rsidRDefault="00002907">
      <w:pPr>
        <w:spacing w:after="0"/>
      </w:pPr>
    </w:p>
    <w:p w14:paraId="3A3156EB" w14:textId="77777777" w:rsidR="00002907" w:rsidRDefault="00000000">
      <w:pPr>
        <w:jc w:val="both"/>
      </w:pPr>
      <w:r>
        <w:t>Les questions soulevées lors de la visite n’ont de valeur contractuelle que si elles font l’objet d’une réponse écrite diffusée via le profil d’acheteur. L’attestation de visite est jointe à l’offre. En cas de groupement, la visite par le mandataire ou un membre techniquement compétent vaut pour le groupement.</w:t>
      </w:r>
    </w:p>
    <w:p w14:paraId="11E0500A" w14:textId="77777777" w:rsidR="00002907" w:rsidRDefault="00000000">
      <w:pPr>
        <w:pStyle w:val="LegalArticle"/>
      </w:pPr>
      <w:r>
        <w:t>Article 6 – Présentation des candidatures</w:t>
      </w:r>
    </w:p>
    <w:p w14:paraId="656B3ADD" w14:textId="77777777" w:rsidR="00002907" w:rsidRDefault="00000000">
      <w:pPr>
        <w:pStyle w:val="Titre2"/>
      </w:pPr>
      <w:r>
        <w:t>6.1 – Pièces administratives</w:t>
      </w:r>
    </w:p>
    <w:p w14:paraId="5DBE2911" w14:textId="77777777" w:rsidR="00002907" w:rsidRDefault="00000000">
      <w:pPr>
        <w:pStyle w:val="Listepuces"/>
        <w:spacing w:after="40"/>
        <w:ind w:left="283" w:hanging="113"/>
        <w:jc w:val="both"/>
      </w:pPr>
      <w:r>
        <w:t>cadre de candidature joint au DCE, DC1/DC2 adaptés ou DUME équivalent ;</w:t>
      </w:r>
    </w:p>
    <w:p w14:paraId="633A69E2" w14:textId="77777777" w:rsidR="00002907" w:rsidRDefault="00000000">
      <w:pPr>
        <w:pStyle w:val="Listepuces"/>
        <w:spacing w:after="40"/>
        <w:ind w:left="283" w:hanging="113"/>
        <w:jc w:val="both"/>
      </w:pPr>
      <w:r>
        <w:t>déclaration sur l’honneur relative aux motifs d’exclusion et à l’exactitude des renseignements ;</w:t>
      </w:r>
    </w:p>
    <w:p w14:paraId="52FCF4D8" w14:textId="77777777" w:rsidR="00002907" w:rsidRDefault="00000000">
      <w:pPr>
        <w:pStyle w:val="Listepuces"/>
        <w:spacing w:after="40"/>
        <w:ind w:left="283" w:hanging="113"/>
        <w:jc w:val="both"/>
      </w:pPr>
      <w:r>
        <w:t>extrait d’immatriculation ou document équivalent ;</w:t>
      </w:r>
    </w:p>
    <w:p w14:paraId="4D49D1F8" w14:textId="77777777" w:rsidR="00002907" w:rsidRDefault="00000000">
      <w:pPr>
        <w:pStyle w:val="Listepuces"/>
        <w:spacing w:after="40"/>
        <w:ind w:left="283" w:hanging="113"/>
        <w:jc w:val="both"/>
      </w:pPr>
      <w:r>
        <w:t>pouvoirs des personnes habilitées à engager chaque membre ;</w:t>
      </w:r>
    </w:p>
    <w:p w14:paraId="2408E638" w14:textId="77777777" w:rsidR="00002907" w:rsidRDefault="00000000">
      <w:pPr>
        <w:pStyle w:val="Listepuces"/>
        <w:spacing w:after="40"/>
        <w:ind w:left="283" w:hanging="113"/>
        <w:jc w:val="both"/>
      </w:pPr>
      <w:r>
        <w:t>composition du groupement, répartition des missions et habilitation du mandataire ;</w:t>
      </w:r>
    </w:p>
    <w:p w14:paraId="0474C4FE" w14:textId="77777777" w:rsidR="00002907" w:rsidRDefault="00000000">
      <w:pPr>
        <w:pStyle w:val="Listepuces"/>
        <w:spacing w:after="40"/>
        <w:ind w:left="283" w:hanging="113"/>
        <w:jc w:val="both"/>
      </w:pPr>
      <w:r>
        <w:t>présentation des tiers et sous-traitants pressentis, avec engagements de mise à disposition de leurs moyens.</w:t>
      </w:r>
    </w:p>
    <w:p w14:paraId="0EB6052A" w14:textId="77777777" w:rsidR="00002907" w:rsidRDefault="00000000">
      <w:pPr>
        <w:pStyle w:val="Titre2"/>
      </w:pPr>
      <w:r>
        <w:t>6.2 – Capacités économiques et financières</w:t>
      </w:r>
    </w:p>
    <w:p w14:paraId="77F0DB45" w14:textId="77777777" w:rsidR="00002907" w:rsidRDefault="00000000">
      <w:pPr>
        <w:pStyle w:val="Listepuces"/>
        <w:spacing w:after="40"/>
        <w:ind w:left="283" w:hanging="113"/>
        <w:jc w:val="both"/>
      </w:pPr>
      <w:r>
        <w:t>chiffre d’affaires global et chiffre d’affaires dans les activités concernées au cours des trois derniers exercices disponibles ;</w:t>
      </w:r>
    </w:p>
    <w:p w14:paraId="6E18DD0D" w14:textId="77777777" w:rsidR="00002907" w:rsidRDefault="00000000">
      <w:pPr>
        <w:pStyle w:val="Listepuces"/>
        <w:spacing w:after="40"/>
        <w:ind w:left="283" w:hanging="113"/>
        <w:jc w:val="both"/>
      </w:pPr>
      <w:r>
        <w:t>comptes annuels, capitaux propres, résultat d’exploitation et endettement financier ;</w:t>
      </w:r>
    </w:p>
    <w:p w14:paraId="4AE526A5" w14:textId="77777777" w:rsidR="00002907" w:rsidRDefault="00000000">
      <w:pPr>
        <w:pStyle w:val="Listepuces"/>
        <w:spacing w:after="40"/>
        <w:ind w:left="283" w:hanging="113"/>
        <w:jc w:val="both"/>
      </w:pPr>
      <w:r>
        <w:t>attestations d’assurance en cours de validité ;</w:t>
      </w:r>
    </w:p>
    <w:p w14:paraId="54086992" w14:textId="77777777" w:rsidR="00002907" w:rsidRDefault="00000000">
      <w:pPr>
        <w:pStyle w:val="Listepuces"/>
        <w:spacing w:after="40"/>
        <w:ind w:left="283" w:hanging="113"/>
        <w:jc w:val="both"/>
      </w:pPr>
      <w:r>
        <w:t>lettres d’intérêt bancaire, fonds propres mobilisables ou autres éléments démontrant la capacité à financer le projet sans garantie de la Commune ;</w:t>
      </w:r>
    </w:p>
    <w:p w14:paraId="61C6F9E0" w14:textId="77777777" w:rsidR="00002907" w:rsidRDefault="00000000">
      <w:pPr>
        <w:pStyle w:val="Listepuces"/>
        <w:spacing w:after="40"/>
        <w:ind w:left="283" w:hanging="113"/>
        <w:jc w:val="both"/>
      </w:pPr>
      <w:r>
        <w:t>en cas de société de projet : nature et montant des garanties prévues par les sociétés mères.</w:t>
      </w:r>
    </w:p>
    <w:p w14:paraId="296CFF89" w14:textId="77777777" w:rsidR="00002907" w:rsidRDefault="00000000">
      <w:pPr>
        <w:pStyle w:val="Titre2"/>
      </w:pPr>
      <w:r>
        <w:t>6.3 – Capacités techniques et professionnelles</w:t>
      </w:r>
    </w:p>
    <w:p w14:paraId="5593F998" w14:textId="77777777" w:rsidR="00002907" w:rsidRDefault="00000000">
      <w:pPr>
        <w:pStyle w:val="Listepuces"/>
        <w:spacing w:after="40"/>
        <w:ind w:left="283" w:hanging="113"/>
        <w:jc w:val="both"/>
      </w:pPr>
      <w:r>
        <w:t>effectifs et encadrement ; organigramme des compétences ;</w:t>
      </w:r>
    </w:p>
    <w:p w14:paraId="28DB195B" w14:textId="77777777" w:rsidR="00002907" w:rsidRDefault="00000000">
      <w:pPr>
        <w:pStyle w:val="Listepuces"/>
        <w:spacing w:after="40"/>
        <w:ind w:left="283" w:hanging="113"/>
        <w:jc w:val="both"/>
      </w:pPr>
      <w:r>
        <w:t>références au cours des cinq dernières années pour des opérations comparables, en précisant puissance, montant, surface, rôle, date et donneur d’ordre ;</w:t>
      </w:r>
    </w:p>
    <w:p w14:paraId="7868896D" w14:textId="77777777" w:rsidR="00002907" w:rsidRDefault="00000000">
      <w:pPr>
        <w:pStyle w:val="Listepuces"/>
        <w:spacing w:after="40"/>
        <w:ind w:left="283" w:hanging="113"/>
        <w:jc w:val="both"/>
      </w:pPr>
      <w:r>
        <w:t>certification en cours de validité pour le retrait d’amiante sous-section 3 de l’entreprise exécutante ;</w:t>
      </w:r>
    </w:p>
    <w:p w14:paraId="5D6D24D7" w14:textId="77777777" w:rsidR="00002907" w:rsidRDefault="00000000">
      <w:pPr>
        <w:pStyle w:val="Listepuces"/>
        <w:spacing w:after="40"/>
        <w:ind w:left="283" w:hanging="113"/>
        <w:jc w:val="both"/>
      </w:pPr>
      <w:r>
        <w:t>qualifications ou références équivalentes en couverture métallique et installations photovoltaïques de grande puissance ;</w:t>
      </w:r>
    </w:p>
    <w:p w14:paraId="3F2B2AE4" w14:textId="77777777" w:rsidR="00002907" w:rsidRDefault="00000000">
      <w:pPr>
        <w:pStyle w:val="Listepuces"/>
        <w:spacing w:after="40"/>
        <w:ind w:left="283" w:hanging="113"/>
        <w:jc w:val="both"/>
      </w:pPr>
      <w:r>
        <w:t>compétences HTA, études de structure, raccordement, supervision et exploitation-maintenance ;</w:t>
      </w:r>
    </w:p>
    <w:p w14:paraId="76193E0C" w14:textId="77777777" w:rsidR="00002907" w:rsidRDefault="00000000">
      <w:pPr>
        <w:pStyle w:val="Listepuces"/>
        <w:spacing w:after="40"/>
        <w:ind w:left="283" w:hanging="113"/>
        <w:jc w:val="both"/>
      </w:pPr>
      <w:r>
        <w:t>matériels et moyens de chantier disponibles.</w:t>
      </w:r>
    </w:p>
    <w:p w14:paraId="416E4EAA" w14:textId="77777777" w:rsidR="00002907" w:rsidRDefault="00000000">
      <w:pPr>
        <w:pStyle w:val="Titre2"/>
      </w:pPr>
      <w:r>
        <w:t>6.4 – Niveaux minimaux attendus</w:t>
      </w:r>
    </w:p>
    <w:tbl>
      <w:tblPr>
        <w:tblW w:w="0" w:type="auto"/>
        <w:jc w:val="center"/>
        <w:tblLayout w:type="fixed"/>
        <w:tblLook w:val="04A0" w:firstRow="1" w:lastRow="0" w:firstColumn="1" w:lastColumn="0" w:noHBand="0" w:noVBand="1"/>
      </w:tblPr>
      <w:tblGrid>
        <w:gridCol w:w="2381"/>
        <w:gridCol w:w="7654"/>
      </w:tblGrid>
      <w:tr w:rsidR="00002907" w14:paraId="5D4B77C2" w14:textId="77777777">
        <w:trPr>
          <w:tblHeader/>
          <w:jc w:val="center"/>
        </w:trPr>
        <w:tc>
          <w:tcPr>
            <w:tcW w:w="2381" w:type="dxa"/>
            <w:tcBorders>
              <w:top w:val="single" w:sz="6" w:space="0" w:color="FFFFFF"/>
              <w:left w:val="single" w:sz="6" w:space="0" w:color="FFFFFF"/>
              <w:bottom w:val="single" w:sz="6" w:space="0" w:color="FFFFFF"/>
              <w:right w:val="single" w:sz="6" w:space="0" w:color="FFFFFF"/>
            </w:tcBorders>
            <w:shd w:val="clear" w:color="auto" w:fill="1F4E79"/>
            <w:tcMar>
              <w:top w:w="100" w:type="dxa"/>
              <w:left w:w="100" w:type="dxa"/>
              <w:bottom w:w="100" w:type="dxa"/>
              <w:right w:w="100" w:type="dxa"/>
            </w:tcMar>
            <w:vAlign w:val="center"/>
          </w:tcPr>
          <w:p w14:paraId="3FCCB6C9" w14:textId="77777777" w:rsidR="00002907" w:rsidRDefault="00000000">
            <w:pPr>
              <w:spacing w:after="0"/>
              <w:jc w:val="center"/>
            </w:pPr>
            <w:r>
              <w:rPr>
                <w:b/>
                <w:color w:val="FFFFFF"/>
                <w:sz w:val="16"/>
              </w:rPr>
              <w:t>Domaine</w:t>
            </w:r>
          </w:p>
        </w:tc>
        <w:tc>
          <w:tcPr>
            <w:tcW w:w="7654" w:type="dxa"/>
            <w:tcBorders>
              <w:top w:val="single" w:sz="6" w:space="0" w:color="FFFFFF"/>
              <w:left w:val="single" w:sz="6" w:space="0" w:color="FFFFFF"/>
              <w:bottom w:val="single" w:sz="6" w:space="0" w:color="FFFFFF"/>
              <w:right w:val="single" w:sz="6" w:space="0" w:color="FFFFFF"/>
            </w:tcBorders>
            <w:shd w:val="clear" w:color="auto" w:fill="1F4E79"/>
            <w:tcMar>
              <w:top w:w="100" w:type="dxa"/>
              <w:left w:w="100" w:type="dxa"/>
              <w:bottom w:w="100" w:type="dxa"/>
              <w:right w:w="100" w:type="dxa"/>
            </w:tcMar>
            <w:vAlign w:val="center"/>
          </w:tcPr>
          <w:p w14:paraId="2B8D0D7E" w14:textId="77777777" w:rsidR="00002907" w:rsidRDefault="00000000">
            <w:pPr>
              <w:spacing w:after="0"/>
              <w:jc w:val="center"/>
            </w:pPr>
            <w:r>
              <w:rPr>
                <w:b/>
                <w:color w:val="FFFFFF"/>
                <w:sz w:val="16"/>
              </w:rPr>
              <w:t>Niveau minimal</w:t>
            </w:r>
          </w:p>
        </w:tc>
      </w:tr>
      <w:tr w:rsidR="00002907" w14:paraId="1FAD532F" w14:textId="77777777">
        <w:trPr>
          <w:cantSplit/>
          <w:jc w:val="center"/>
        </w:trPr>
        <w:tc>
          <w:tcPr>
            <w:tcW w:w="2381"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333E3747" w14:textId="77777777" w:rsidR="00002907" w:rsidRDefault="00000000">
            <w:pPr>
              <w:spacing w:after="0"/>
              <w:jc w:val="center"/>
            </w:pPr>
            <w:r>
              <w:rPr>
                <w:sz w:val="16"/>
              </w:rPr>
              <w:t>Désamiantage</w:t>
            </w:r>
          </w:p>
        </w:tc>
        <w:tc>
          <w:tcPr>
            <w:tcW w:w="7654"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74DB648C" w14:textId="77777777" w:rsidR="00002907" w:rsidRDefault="00000000">
            <w:pPr>
              <w:spacing w:after="0"/>
            </w:pPr>
            <w:r>
              <w:rPr>
                <w:sz w:val="16"/>
              </w:rPr>
              <w:t>Au moins deux références de retrait de couvertures amiante-ciment d’une surface supérieure ou égale à 1 500 m² sur les cinq dernières années, exécutées par l’entreprise certifiée proposée</w:t>
            </w:r>
          </w:p>
        </w:tc>
      </w:tr>
      <w:tr w:rsidR="00002907" w14:paraId="567655D8" w14:textId="77777777">
        <w:trPr>
          <w:cantSplit/>
          <w:jc w:val="center"/>
        </w:trPr>
        <w:tc>
          <w:tcPr>
            <w:tcW w:w="2381"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575D0385" w14:textId="77777777" w:rsidR="00002907" w:rsidRDefault="00000000">
            <w:pPr>
              <w:spacing w:after="0"/>
              <w:jc w:val="center"/>
            </w:pPr>
            <w:r>
              <w:rPr>
                <w:sz w:val="16"/>
              </w:rPr>
              <w:t>Couverture</w:t>
            </w:r>
          </w:p>
        </w:tc>
        <w:tc>
          <w:tcPr>
            <w:tcW w:w="7654"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265CF02B" w14:textId="77777777" w:rsidR="00002907" w:rsidRDefault="00000000">
            <w:pPr>
              <w:spacing w:after="0"/>
            </w:pPr>
            <w:r>
              <w:rPr>
                <w:sz w:val="16"/>
              </w:rPr>
              <w:t>Au moins deux références de couverture métallique d’une surface supérieure ou égale à 1 500 m², dont une supportant une installation photovoltaïque</w:t>
            </w:r>
          </w:p>
        </w:tc>
      </w:tr>
      <w:tr w:rsidR="00002907" w14:paraId="698E8F1D" w14:textId="77777777">
        <w:trPr>
          <w:cantSplit/>
          <w:jc w:val="center"/>
        </w:trPr>
        <w:tc>
          <w:tcPr>
            <w:tcW w:w="2381"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14C83077" w14:textId="77777777" w:rsidR="00002907" w:rsidRDefault="00000000">
            <w:pPr>
              <w:spacing w:after="0"/>
              <w:jc w:val="center"/>
            </w:pPr>
            <w:r>
              <w:rPr>
                <w:sz w:val="16"/>
              </w:rPr>
              <w:t>Photovoltaïque</w:t>
            </w:r>
          </w:p>
        </w:tc>
        <w:tc>
          <w:tcPr>
            <w:tcW w:w="7654"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5EF7F568" w14:textId="77777777" w:rsidR="00002907" w:rsidRDefault="00000000">
            <w:pPr>
              <w:spacing w:after="0"/>
            </w:pPr>
            <w:r>
              <w:rPr>
                <w:sz w:val="16"/>
              </w:rPr>
              <w:t>Au moins deux centrales de toiture ou ombrières d’une puissance supérieure ou égale à 300 kWc mises en service, dont une exploitée depuis au moins deux ans, ou références équivalentes dûment justifiées</w:t>
            </w:r>
          </w:p>
        </w:tc>
      </w:tr>
      <w:tr w:rsidR="00002907" w14:paraId="3352293C" w14:textId="77777777">
        <w:trPr>
          <w:cantSplit/>
          <w:jc w:val="center"/>
        </w:trPr>
        <w:tc>
          <w:tcPr>
            <w:tcW w:w="2381"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1D1540CD" w14:textId="77777777" w:rsidR="00002907" w:rsidRDefault="00000000">
            <w:pPr>
              <w:spacing w:after="0"/>
              <w:jc w:val="center"/>
            </w:pPr>
            <w:r>
              <w:rPr>
                <w:sz w:val="16"/>
              </w:rPr>
              <w:t>Financement</w:t>
            </w:r>
          </w:p>
        </w:tc>
        <w:tc>
          <w:tcPr>
            <w:tcW w:w="7654"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5363B636" w14:textId="77777777" w:rsidR="00002907" w:rsidRDefault="00000000">
            <w:pPr>
              <w:spacing w:after="0"/>
            </w:pPr>
            <w:r>
              <w:rPr>
                <w:sz w:val="16"/>
              </w:rPr>
              <w:t>Démonstration de ressources ou engagements de financement couvrant l’investissement total proposé</w:t>
            </w:r>
          </w:p>
        </w:tc>
      </w:tr>
    </w:tbl>
    <w:p w14:paraId="7204A0AF" w14:textId="77777777" w:rsidR="00002907" w:rsidRDefault="00002907">
      <w:pPr>
        <w:spacing w:after="0"/>
      </w:pPr>
    </w:p>
    <w:p w14:paraId="36955B20" w14:textId="77777777" w:rsidR="00002907" w:rsidRDefault="00000000">
      <w:pPr>
        <w:pStyle w:val="Small"/>
        <w:jc w:val="both"/>
      </w:pPr>
      <w:r>
        <w:t>Une référence équivalente peut être admise si le candidat démontre de manière circonstanciée un niveau de capacité comparable, afin de ne pas restreindre disproportionnellement l’accès à la procédure.</w:t>
      </w:r>
    </w:p>
    <w:p w14:paraId="1AD5B6B7" w14:textId="77777777" w:rsidR="00002907" w:rsidRDefault="00000000">
      <w:pPr>
        <w:pStyle w:val="LegalArticle"/>
      </w:pPr>
      <w:r>
        <w:lastRenderedPageBreak/>
        <w:t>Article 7 – Présentation des offres</w:t>
      </w:r>
    </w:p>
    <w:p w14:paraId="13CF4707" w14:textId="77777777" w:rsidR="00002907" w:rsidRDefault="00000000">
      <w:pPr>
        <w:pStyle w:val="Titre2"/>
      </w:pPr>
      <w:r>
        <w:t>7.1 – Pièces obligatoires</w:t>
      </w:r>
    </w:p>
    <w:tbl>
      <w:tblPr>
        <w:tblW w:w="0" w:type="auto"/>
        <w:jc w:val="center"/>
        <w:tblLayout w:type="fixed"/>
        <w:tblLook w:val="04A0" w:firstRow="1" w:lastRow="0" w:firstColumn="1" w:lastColumn="0" w:noHBand="0" w:noVBand="1"/>
      </w:tblPr>
      <w:tblGrid>
        <w:gridCol w:w="794"/>
        <w:gridCol w:w="9241"/>
      </w:tblGrid>
      <w:tr w:rsidR="00002907" w14:paraId="3DA1C1EC" w14:textId="77777777">
        <w:trPr>
          <w:tblHeader/>
          <w:jc w:val="center"/>
        </w:trPr>
        <w:tc>
          <w:tcPr>
            <w:tcW w:w="794" w:type="dxa"/>
            <w:tcBorders>
              <w:top w:val="single" w:sz="6" w:space="0" w:color="FFFFFF"/>
              <w:left w:val="single" w:sz="6" w:space="0" w:color="FFFFFF"/>
              <w:bottom w:val="single" w:sz="6" w:space="0" w:color="FFFFFF"/>
              <w:right w:val="single" w:sz="6" w:space="0" w:color="FFFFFF"/>
            </w:tcBorders>
            <w:shd w:val="clear" w:color="auto" w:fill="1F4E79"/>
            <w:tcMar>
              <w:top w:w="100" w:type="dxa"/>
              <w:left w:w="100" w:type="dxa"/>
              <w:bottom w:w="100" w:type="dxa"/>
              <w:right w:w="100" w:type="dxa"/>
            </w:tcMar>
            <w:vAlign w:val="center"/>
          </w:tcPr>
          <w:p w14:paraId="11E48208" w14:textId="77777777" w:rsidR="00002907" w:rsidRDefault="00000000">
            <w:pPr>
              <w:spacing w:after="0"/>
              <w:jc w:val="center"/>
            </w:pPr>
            <w:r>
              <w:rPr>
                <w:b/>
                <w:color w:val="FFFFFF"/>
                <w:sz w:val="16"/>
              </w:rPr>
              <w:t>Réf.</w:t>
            </w:r>
          </w:p>
        </w:tc>
        <w:tc>
          <w:tcPr>
            <w:tcW w:w="9241" w:type="dxa"/>
            <w:tcBorders>
              <w:top w:val="single" w:sz="6" w:space="0" w:color="FFFFFF"/>
              <w:left w:val="single" w:sz="6" w:space="0" w:color="FFFFFF"/>
              <w:bottom w:val="single" w:sz="6" w:space="0" w:color="FFFFFF"/>
              <w:right w:val="single" w:sz="6" w:space="0" w:color="FFFFFF"/>
            </w:tcBorders>
            <w:shd w:val="clear" w:color="auto" w:fill="1F4E79"/>
            <w:tcMar>
              <w:top w:w="100" w:type="dxa"/>
              <w:left w:w="100" w:type="dxa"/>
              <w:bottom w:w="100" w:type="dxa"/>
              <w:right w:w="100" w:type="dxa"/>
            </w:tcMar>
            <w:vAlign w:val="center"/>
          </w:tcPr>
          <w:p w14:paraId="065D2003" w14:textId="77777777" w:rsidR="00002907" w:rsidRDefault="00000000">
            <w:pPr>
              <w:spacing w:after="0"/>
              <w:jc w:val="center"/>
            </w:pPr>
            <w:r>
              <w:rPr>
                <w:b/>
                <w:color w:val="FFFFFF"/>
                <w:sz w:val="16"/>
              </w:rPr>
              <w:t>Pièce</w:t>
            </w:r>
          </w:p>
        </w:tc>
      </w:tr>
      <w:tr w:rsidR="00002907" w14:paraId="167EF7DD" w14:textId="77777777">
        <w:trPr>
          <w:cantSplit/>
          <w:jc w:val="center"/>
        </w:trPr>
        <w:tc>
          <w:tcPr>
            <w:tcW w:w="794"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0199425F" w14:textId="77777777" w:rsidR="00002907" w:rsidRDefault="00000000">
            <w:pPr>
              <w:spacing w:after="0"/>
              <w:jc w:val="center"/>
            </w:pPr>
            <w:r>
              <w:rPr>
                <w:sz w:val="16"/>
              </w:rPr>
              <w:t>O1</w:t>
            </w:r>
          </w:p>
        </w:tc>
        <w:tc>
          <w:tcPr>
            <w:tcW w:w="9241"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6F93DC7F" w14:textId="77777777" w:rsidR="00002907" w:rsidRDefault="00000000">
            <w:pPr>
              <w:spacing w:after="0"/>
            </w:pPr>
            <w:r>
              <w:rPr>
                <w:sz w:val="16"/>
              </w:rPr>
              <w:t>Acte d’engagement complété et, s’il est signé au dépôt, signé par une personne habilitée</w:t>
            </w:r>
          </w:p>
        </w:tc>
      </w:tr>
      <w:tr w:rsidR="00002907" w14:paraId="5E9F65FD" w14:textId="77777777">
        <w:trPr>
          <w:cantSplit/>
          <w:jc w:val="center"/>
        </w:trPr>
        <w:tc>
          <w:tcPr>
            <w:tcW w:w="794"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1FF7A4BD" w14:textId="77777777" w:rsidR="00002907" w:rsidRDefault="00000000">
            <w:pPr>
              <w:spacing w:after="0"/>
              <w:jc w:val="center"/>
            </w:pPr>
            <w:r>
              <w:rPr>
                <w:sz w:val="16"/>
              </w:rPr>
              <w:t>O2</w:t>
            </w:r>
          </w:p>
        </w:tc>
        <w:tc>
          <w:tcPr>
            <w:tcW w:w="9241"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7A77BD20" w14:textId="77777777" w:rsidR="00002907" w:rsidRDefault="00000000">
            <w:pPr>
              <w:spacing w:after="0"/>
            </w:pPr>
            <w:r>
              <w:rPr>
                <w:sz w:val="16"/>
              </w:rPr>
              <w:t>Cadre de réponse / mémoire technique et financier complété sans suppression de rubrique</w:t>
            </w:r>
          </w:p>
        </w:tc>
      </w:tr>
      <w:tr w:rsidR="00002907" w14:paraId="5E8C857B" w14:textId="77777777">
        <w:trPr>
          <w:cantSplit/>
          <w:jc w:val="center"/>
        </w:trPr>
        <w:tc>
          <w:tcPr>
            <w:tcW w:w="794"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2418945F" w14:textId="77777777" w:rsidR="00002907" w:rsidRDefault="00000000">
            <w:pPr>
              <w:spacing w:after="0"/>
              <w:jc w:val="center"/>
            </w:pPr>
            <w:r>
              <w:rPr>
                <w:sz w:val="16"/>
              </w:rPr>
              <w:t>O3</w:t>
            </w:r>
          </w:p>
        </w:tc>
        <w:tc>
          <w:tcPr>
            <w:tcW w:w="9241"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5E00C4D8" w14:textId="77777777" w:rsidR="00002907" w:rsidRDefault="00000000">
            <w:pPr>
              <w:spacing w:after="0"/>
            </w:pPr>
            <w:r>
              <w:rPr>
                <w:sz w:val="16"/>
              </w:rPr>
              <w:t>DPGF de chacun des trois lots techniques et synthèse globale</w:t>
            </w:r>
          </w:p>
        </w:tc>
      </w:tr>
      <w:tr w:rsidR="00002907" w14:paraId="30CF5546" w14:textId="77777777">
        <w:trPr>
          <w:cantSplit/>
          <w:jc w:val="center"/>
        </w:trPr>
        <w:tc>
          <w:tcPr>
            <w:tcW w:w="794"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4FE9B8EB" w14:textId="77777777" w:rsidR="00002907" w:rsidRDefault="00000000">
            <w:pPr>
              <w:spacing w:after="0"/>
              <w:jc w:val="center"/>
            </w:pPr>
            <w:r>
              <w:rPr>
                <w:sz w:val="16"/>
              </w:rPr>
              <w:t>O4</w:t>
            </w:r>
          </w:p>
        </w:tc>
        <w:tc>
          <w:tcPr>
            <w:tcW w:w="9241"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5467E52A" w14:textId="77777777" w:rsidR="00002907" w:rsidRDefault="00000000">
            <w:pPr>
              <w:spacing w:after="0"/>
            </w:pPr>
            <w:r>
              <w:rPr>
                <w:sz w:val="16"/>
              </w:rPr>
              <w:t>Modèle économique sur 20 ans et méthode d’estimation de la valeur de concession</w:t>
            </w:r>
          </w:p>
        </w:tc>
      </w:tr>
      <w:tr w:rsidR="00002907" w14:paraId="43D0FFDC" w14:textId="77777777">
        <w:trPr>
          <w:cantSplit/>
          <w:jc w:val="center"/>
        </w:trPr>
        <w:tc>
          <w:tcPr>
            <w:tcW w:w="794"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1D07302E" w14:textId="77777777" w:rsidR="00002907" w:rsidRDefault="00000000">
            <w:pPr>
              <w:spacing w:after="0"/>
              <w:jc w:val="center"/>
            </w:pPr>
            <w:r>
              <w:rPr>
                <w:sz w:val="16"/>
              </w:rPr>
              <w:t>O5</w:t>
            </w:r>
          </w:p>
        </w:tc>
        <w:tc>
          <w:tcPr>
            <w:tcW w:w="9241"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37D00EB5" w14:textId="77777777" w:rsidR="00002907" w:rsidRDefault="00000000">
            <w:pPr>
              <w:spacing w:after="0"/>
            </w:pPr>
            <w:r>
              <w:rPr>
                <w:sz w:val="16"/>
              </w:rPr>
              <w:t>Plan de financement, lettres de soutien ou d’intérêt, structure juridique et garanties</w:t>
            </w:r>
          </w:p>
        </w:tc>
      </w:tr>
      <w:tr w:rsidR="00002907" w14:paraId="431F7EFD" w14:textId="77777777">
        <w:trPr>
          <w:cantSplit/>
          <w:jc w:val="center"/>
        </w:trPr>
        <w:tc>
          <w:tcPr>
            <w:tcW w:w="794"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43F4670D" w14:textId="77777777" w:rsidR="00002907" w:rsidRDefault="00000000">
            <w:pPr>
              <w:spacing w:after="0"/>
              <w:jc w:val="center"/>
            </w:pPr>
            <w:r>
              <w:rPr>
                <w:sz w:val="16"/>
              </w:rPr>
              <w:t>O6</w:t>
            </w:r>
          </w:p>
        </w:tc>
        <w:tc>
          <w:tcPr>
            <w:tcW w:w="9241"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1222262E" w14:textId="77777777" w:rsidR="00002907" w:rsidRDefault="00000000">
            <w:pPr>
              <w:spacing w:after="0"/>
            </w:pPr>
            <w:r>
              <w:rPr>
                <w:sz w:val="16"/>
              </w:rPr>
              <w:t>Planning détaillé des études, autorisations, travaux, raccordement, essais et mise en service</w:t>
            </w:r>
          </w:p>
        </w:tc>
      </w:tr>
      <w:tr w:rsidR="00002907" w14:paraId="6ADB6DA7" w14:textId="77777777">
        <w:trPr>
          <w:cantSplit/>
          <w:jc w:val="center"/>
        </w:trPr>
        <w:tc>
          <w:tcPr>
            <w:tcW w:w="794"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2A57864E" w14:textId="77777777" w:rsidR="00002907" w:rsidRDefault="00000000">
            <w:pPr>
              <w:spacing w:after="0"/>
              <w:jc w:val="center"/>
            </w:pPr>
            <w:r>
              <w:rPr>
                <w:sz w:val="16"/>
              </w:rPr>
              <w:t>O7</w:t>
            </w:r>
          </w:p>
        </w:tc>
        <w:tc>
          <w:tcPr>
            <w:tcW w:w="9241"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7AC8225E" w14:textId="77777777" w:rsidR="00002907" w:rsidRDefault="00000000">
            <w:pPr>
              <w:spacing w:after="0"/>
            </w:pPr>
            <w:r>
              <w:rPr>
                <w:sz w:val="16"/>
              </w:rPr>
              <w:t>Calepinage de principe, bilan de puissance et productible P50/P90</w:t>
            </w:r>
          </w:p>
        </w:tc>
      </w:tr>
      <w:tr w:rsidR="00002907" w14:paraId="25F8BFE6" w14:textId="77777777">
        <w:trPr>
          <w:cantSplit/>
          <w:jc w:val="center"/>
        </w:trPr>
        <w:tc>
          <w:tcPr>
            <w:tcW w:w="794"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7F0A8318" w14:textId="77777777" w:rsidR="00002907" w:rsidRDefault="00000000">
            <w:pPr>
              <w:spacing w:after="0"/>
              <w:jc w:val="center"/>
            </w:pPr>
            <w:r>
              <w:rPr>
                <w:sz w:val="16"/>
              </w:rPr>
              <w:t>O8</w:t>
            </w:r>
          </w:p>
        </w:tc>
        <w:tc>
          <w:tcPr>
            <w:tcW w:w="9241"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5154316B" w14:textId="77777777" w:rsidR="00002907" w:rsidRDefault="00000000">
            <w:pPr>
              <w:spacing w:after="0"/>
            </w:pPr>
            <w:r>
              <w:rPr>
                <w:sz w:val="16"/>
              </w:rPr>
              <w:t>Méthodes de désamiantage, mise hors d’eau, couverture, interfaces et maintien de l’activité</w:t>
            </w:r>
          </w:p>
        </w:tc>
      </w:tr>
      <w:tr w:rsidR="00002907" w14:paraId="00B485F5" w14:textId="77777777">
        <w:trPr>
          <w:cantSplit/>
          <w:jc w:val="center"/>
        </w:trPr>
        <w:tc>
          <w:tcPr>
            <w:tcW w:w="794"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52E68EDB" w14:textId="77777777" w:rsidR="00002907" w:rsidRDefault="00000000">
            <w:pPr>
              <w:spacing w:after="0"/>
              <w:jc w:val="center"/>
            </w:pPr>
            <w:r>
              <w:rPr>
                <w:sz w:val="16"/>
              </w:rPr>
              <w:t>O9</w:t>
            </w:r>
          </w:p>
        </w:tc>
        <w:tc>
          <w:tcPr>
            <w:tcW w:w="9241"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72033927" w14:textId="77777777" w:rsidR="00002907" w:rsidRDefault="00000000">
            <w:pPr>
              <w:spacing w:after="0"/>
            </w:pPr>
            <w:r>
              <w:rPr>
                <w:sz w:val="16"/>
              </w:rPr>
              <w:t>Programme d’exploitation-maintenance, renouvellement, surveillance et reporting</w:t>
            </w:r>
          </w:p>
        </w:tc>
      </w:tr>
      <w:tr w:rsidR="00002907" w14:paraId="1AF03DE3" w14:textId="77777777">
        <w:trPr>
          <w:cantSplit/>
          <w:jc w:val="center"/>
        </w:trPr>
        <w:tc>
          <w:tcPr>
            <w:tcW w:w="794"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2883B3FD" w14:textId="77777777" w:rsidR="00002907" w:rsidRDefault="00000000">
            <w:pPr>
              <w:spacing w:after="0"/>
              <w:jc w:val="center"/>
            </w:pPr>
            <w:r>
              <w:rPr>
                <w:sz w:val="16"/>
              </w:rPr>
              <w:t>O10</w:t>
            </w:r>
          </w:p>
        </w:tc>
        <w:tc>
          <w:tcPr>
            <w:tcW w:w="9241"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5F9CBC4A" w14:textId="77777777" w:rsidR="00002907" w:rsidRDefault="00000000">
            <w:pPr>
              <w:spacing w:after="0"/>
            </w:pPr>
            <w:r>
              <w:rPr>
                <w:sz w:val="16"/>
              </w:rPr>
              <w:t>Plan de transfert en fin de contrat et garanties de remise</w:t>
            </w:r>
          </w:p>
        </w:tc>
      </w:tr>
      <w:tr w:rsidR="00002907" w14:paraId="6F0C034D" w14:textId="77777777">
        <w:trPr>
          <w:cantSplit/>
          <w:jc w:val="center"/>
        </w:trPr>
        <w:tc>
          <w:tcPr>
            <w:tcW w:w="794"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0D82E4EA" w14:textId="77777777" w:rsidR="00002907" w:rsidRDefault="00000000">
            <w:pPr>
              <w:spacing w:after="0"/>
              <w:jc w:val="center"/>
            </w:pPr>
            <w:r>
              <w:rPr>
                <w:sz w:val="16"/>
              </w:rPr>
              <w:t>O11</w:t>
            </w:r>
          </w:p>
        </w:tc>
        <w:tc>
          <w:tcPr>
            <w:tcW w:w="9241"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7194A85E" w14:textId="77777777" w:rsidR="00002907" w:rsidRDefault="00000000">
            <w:pPr>
              <w:spacing w:after="0"/>
            </w:pPr>
            <w:r>
              <w:rPr>
                <w:sz w:val="16"/>
              </w:rPr>
              <w:t>Attestation de visite</w:t>
            </w:r>
          </w:p>
        </w:tc>
      </w:tr>
      <w:tr w:rsidR="00002907" w14:paraId="6B40BDCF" w14:textId="77777777">
        <w:trPr>
          <w:cantSplit/>
          <w:jc w:val="center"/>
        </w:trPr>
        <w:tc>
          <w:tcPr>
            <w:tcW w:w="794"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3AE78334" w14:textId="77777777" w:rsidR="00002907" w:rsidRDefault="00000000">
            <w:pPr>
              <w:spacing w:after="0"/>
              <w:jc w:val="center"/>
            </w:pPr>
            <w:r>
              <w:rPr>
                <w:sz w:val="16"/>
              </w:rPr>
              <w:t>O12</w:t>
            </w:r>
          </w:p>
        </w:tc>
        <w:tc>
          <w:tcPr>
            <w:tcW w:w="9241"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5EA140D3" w14:textId="77777777" w:rsidR="00002907" w:rsidRDefault="00000000">
            <w:pPr>
              <w:spacing w:after="0"/>
            </w:pPr>
            <w:r>
              <w:rPr>
                <w:sz w:val="16"/>
              </w:rPr>
              <w:t>Tableau des écarts contractuels et variantes, le cas échéant</w:t>
            </w:r>
          </w:p>
        </w:tc>
      </w:tr>
    </w:tbl>
    <w:p w14:paraId="2DBEA244" w14:textId="77777777" w:rsidR="00002907" w:rsidRDefault="00002907">
      <w:pPr>
        <w:spacing w:after="0"/>
      </w:pPr>
    </w:p>
    <w:p w14:paraId="0563CC1F" w14:textId="77777777" w:rsidR="00002907" w:rsidRDefault="00000000">
      <w:pPr>
        <w:pStyle w:val="Titre2"/>
      </w:pPr>
      <w:r>
        <w:t>7.2 – Exigences relatives au mémoire</w:t>
      </w:r>
    </w:p>
    <w:p w14:paraId="609A6454" w14:textId="77777777" w:rsidR="00002907" w:rsidRDefault="00000000">
      <w:pPr>
        <w:jc w:val="both"/>
      </w:pPr>
      <w:r>
        <w:t>Le mémoire suit impérativement le cadre fourni. Les développements sont précis, vérifiables et propres au site. Les renvois généraux à des catalogues ou documents commerciaux ne remplacent pas une réponse. Le mémoire principal est limité à 80 pages hors annexes techniques, financières, plans, certificats et références.</w:t>
      </w:r>
    </w:p>
    <w:p w14:paraId="1E07C4A8" w14:textId="77777777" w:rsidR="00002907" w:rsidRDefault="00000000">
      <w:pPr>
        <w:pStyle w:val="Titre2"/>
      </w:pPr>
      <w:r>
        <w:t>7.3 – Écarts et réserves</w:t>
      </w:r>
    </w:p>
    <w:p w14:paraId="2B102837" w14:textId="77777777" w:rsidR="00002907" w:rsidRDefault="00000000">
      <w:pPr>
        <w:jc w:val="both"/>
      </w:pPr>
      <w:r>
        <w:t>Toute réserve ou demande de modification du contrat doit être récapitulée dans le tableau des écarts. Une modification insérée uniquement dans le mémoire, sans être signalée dans ce tableau, est réputée non écrite. Les réserves affectant une exigence minimale peuvent entraîner l’irrégularité de l’offre.</w:t>
      </w:r>
    </w:p>
    <w:p w14:paraId="25E38EE3" w14:textId="77777777" w:rsidR="00002907" w:rsidRDefault="00000000">
      <w:pPr>
        <w:pStyle w:val="Titre2"/>
      </w:pPr>
      <w:r>
        <w:t>7.4 – Signature</w:t>
      </w:r>
    </w:p>
    <w:p w14:paraId="25ED6A31" w14:textId="77777777" w:rsidR="00002907" w:rsidRDefault="00000000">
      <w:pPr>
        <w:jc w:val="both"/>
      </w:pPr>
      <w:r>
        <w:t>La signature électronique de l’offre n’est pas exigée au dépôt. Le soumissionnaire reste engagé par le contenu transmis. L’attributaire signe les pièces mises au point au moyen d’une signature électronique conforme ou selon les modalités indiquées par la Commune.</w:t>
      </w:r>
    </w:p>
    <w:p w14:paraId="200F9778" w14:textId="77777777" w:rsidR="00002907" w:rsidRDefault="00000000">
      <w:pPr>
        <w:pStyle w:val="LegalArticle"/>
      </w:pPr>
      <w:r>
        <w:t>Article 8 – Transmission électronique des plis</w:t>
      </w:r>
    </w:p>
    <w:p w14:paraId="11329CE1" w14:textId="437A1ECE" w:rsidR="00002907" w:rsidRDefault="00000000">
      <w:pPr>
        <w:jc w:val="both"/>
      </w:pPr>
      <w:r>
        <w:t xml:space="preserve">Les plis sont transmis exclusivement par voie électronique sur https://alsacemarchespublics.eu avant </w:t>
      </w:r>
      <w:proofErr w:type="spellStart"/>
      <w:r>
        <w:t>Vendredi</w:t>
      </w:r>
      <w:proofErr w:type="spellEnd"/>
      <w:r w:rsidR="008C0B29">
        <w:t xml:space="preserve"> 13</w:t>
      </w:r>
      <w:r>
        <w:t xml:space="preserve"> </w:t>
      </w:r>
      <w:proofErr w:type="spellStart"/>
      <w:r w:rsidR="008C0B29">
        <w:t>novembre</w:t>
      </w:r>
      <w:proofErr w:type="spellEnd"/>
      <w:r>
        <w:t xml:space="preserve"> 2026 à 18 h 00. Aucun dépôt par courriel ou support physique n’est admis, sous réserve de la copie de sauvegarde prévue par la réglementation.</w:t>
      </w:r>
    </w:p>
    <w:p w14:paraId="5DB925C0" w14:textId="77777777" w:rsidR="00002907" w:rsidRDefault="00000000">
      <w:pPr>
        <w:pStyle w:val="Titre2"/>
      </w:pPr>
      <w:r>
        <w:t>8.1 – Organisation des fichiers</w:t>
      </w:r>
    </w:p>
    <w:p w14:paraId="22EA1191" w14:textId="77777777" w:rsidR="00002907" w:rsidRDefault="00000000">
      <w:pPr>
        <w:pStyle w:val="Listepuces"/>
        <w:spacing w:after="40"/>
        <w:ind w:left="283" w:hanging="113"/>
        <w:jc w:val="both"/>
      </w:pPr>
      <w:r>
        <w:t>un dossier « Candidature » ;</w:t>
      </w:r>
    </w:p>
    <w:p w14:paraId="08B0A0DA" w14:textId="77777777" w:rsidR="00002907" w:rsidRDefault="00000000">
      <w:pPr>
        <w:pStyle w:val="Listepuces"/>
        <w:spacing w:after="40"/>
        <w:ind w:left="283" w:hanging="113"/>
        <w:jc w:val="both"/>
      </w:pPr>
      <w:r>
        <w:t>un dossier « Offre » ;</w:t>
      </w:r>
    </w:p>
    <w:p w14:paraId="7B176F02" w14:textId="77777777" w:rsidR="00002907" w:rsidRDefault="00000000">
      <w:pPr>
        <w:pStyle w:val="Listepuces"/>
        <w:spacing w:after="40"/>
        <w:ind w:left="283" w:hanging="113"/>
        <w:jc w:val="both"/>
      </w:pPr>
      <w:r>
        <w:t>un dossier « Annexes techniques » ;</w:t>
      </w:r>
    </w:p>
    <w:p w14:paraId="4D0A992F" w14:textId="77777777" w:rsidR="00002907" w:rsidRDefault="00000000">
      <w:pPr>
        <w:pStyle w:val="Listepuces"/>
        <w:spacing w:after="40"/>
        <w:ind w:left="283" w:hanging="113"/>
        <w:jc w:val="both"/>
      </w:pPr>
      <w:r>
        <w:t>un dossier « Annexes financières » ;</w:t>
      </w:r>
    </w:p>
    <w:p w14:paraId="2AA38AD9" w14:textId="77777777" w:rsidR="00002907" w:rsidRDefault="00000000">
      <w:pPr>
        <w:pStyle w:val="Listepuces"/>
        <w:spacing w:after="40"/>
        <w:ind w:left="283" w:hanging="113"/>
        <w:jc w:val="both"/>
      </w:pPr>
      <w:r>
        <w:t>des noms de fichiers courts, explicites, sans caractères spéciaux inutiles ;</w:t>
      </w:r>
    </w:p>
    <w:p w14:paraId="5F127A73" w14:textId="77777777" w:rsidR="00002907" w:rsidRDefault="00000000">
      <w:pPr>
        <w:pStyle w:val="Listepuces"/>
        <w:spacing w:after="40"/>
        <w:ind w:left="283" w:hanging="113"/>
        <w:jc w:val="both"/>
      </w:pPr>
      <w:r>
        <w:t>formats PDF pour les documents figés, XLSX pour les cadres financiers, DWG/DXF et PDF pour les plans, le cas échéant.</w:t>
      </w:r>
    </w:p>
    <w:p w14:paraId="62F082E3" w14:textId="77777777" w:rsidR="00002907" w:rsidRDefault="00000000">
      <w:pPr>
        <w:pStyle w:val="Titre2"/>
      </w:pPr>
      <w:r>
        <w:t>8.2 – Virus, illisibilité et copie de sauvegarde</w:t>
      </w:r>
    </w:p>
    <w:p w14:paraId="3FDA3AFF" w14:textId="77777777" w:rsidR="00002907" w:rsidRDefault="00000000">
      <w:pPr>
        <w:jc w:val="both"/>
      </w:pPr>
      <w:r>
        <w:t>Tout fichier infecté ou illisible est traité selon les règles applicables. Le candidat vérifie l’ouverture de ses fichiers avant dépôt. Une copie de sauvegarde peut être transmise dans les formes et délais réglementaires, avec la mention prévue à cet effet.</w:t>
      </w:r>
    </w:p>
    <w:p w14:paraId="32161E22" w14:textId="77777777" w:rsidR="00002907" w:rsidRDefault="00000000">
      <w:pPr>
        <w:pStyle w:val="LegalArticle"/>
      </w:pPr>
      <w:r>
        <w:t>Article 9 – Examen des candidatures</w:t>
      </w:r>
    </w:p>
    <w:p w14:paraId="158EBB7F" w14:textId="77777777" w:rsidR="00002907" w:rsidRDefault="00000000">
      <w:pPr>
        <w:jc w:val="both"/>
      </w:pPr>
      <w:r>
        <w:t>La Commune vérifie l’absence de motif d’exclusion et apprécie les capacités économiques, financières, techniques et professionnelles. Elle peut demander aux candidats de compléter des pièces manquantes dans un délai identique. Cette faculté ne constitue pas un droit à régularisation.</w:t>
      </w:r>
    </w:p>
    <w:p w14:paraId="1FBBB302" w14:textId="77777777" w:rsidR="00002907" w:rsidRDefault="00000000">
      <w:pPr>
        <w:jc w:val="both"/>
      </w:pPr>
      <w:r>
        <w:lastRenderedPageBreak/>
        <w:t>Sont écartées les candidatures irrecevables, celles qui ne justifient pas des capacités nécessaires ou celles dont la composition ne permet pas de couvrir les compétences indispensables. La Commune peut prendre en compte les capacités d’autres entités si un engagement ferme de mise à disposition est produit.</w:t>
      </w:r>
    </w:p>
    <w:p w14:paraId="7ECF0C38" w14:textId="77777777" w:rsidR="00002907" w:rsidRDefault="00000000">
      <w:pPr>
        <w:pStyle w:val="LegalArticle"/>
      </w:pPr>
      <w:r>
        <w:t>Article 10 – Examen, notation, audition et négociation des offres</w:t>
      </w:r>
    </w:p>
    <w:p w14:paraId="6814BEE5" w14:textId="77777777" w:rsidR="00002907" w:rsidRDefault="00000000">
      <w:pPr>
        <w:pStyle w:val="Titre2"/>
      </w:pPr>
      <w:r>
        <w:t>10.1 – Principes</w:t>
      </w:r>
    </w:p>
    <w:p w14:paraId="7EEC4F73" w14:textId="77777777" w:rsidR="00002907" w:rsidRDefault="00000000">
      <w:pPr>
        <w:jc w:val="both"/>
      </w:pPr>
      <w:r>
        <w:t>Les offres sont analysées au regard des seuls critères annoncés. Les exigences minimales et les critères ne sont pas négociables. La Commune peut demander des précisions sans permettre une modification substantielle de l’offre initiale, puis organiser une ou plusieurs séances de négociation dans des conditions garantissant l’égalité de traitement et la confidentialité des solutions.</w:t>
      </w:r>
    </w:p>
    <w:p w14:paraId="4AB0DD12" w14:textId="77777777" w:rsidR="00002907" w:rsidRDefault="00000000">
      <w:pPr>
        <w:pStyle w:val="Titre2"/>
      </w:pPr>
      <w:r>
        <w:t>10.2 – Critères et sous-critères</w:t>
      </w:r>
    </w:p>
    <w:tbl>
      <w:tblPr>
        <w:tblW w:w="0" w:type="auto"/>
        <w:jc w:val="center"/>
        <w:tblLayout w:type="fixed"/>
        <w:tblLook w:val="04A0" w:firstRow="1" w:lastRow="0" w:firstColumn="1" w:lastColumn="0" w:noHBand="0" w:noVBand="1"/>
      </w:tblPr>
      <w:tblGrid>
        <w:gridCol w:w="3402"/>
        <w:gridCol w:w="964"/>
        <w:gridCol w:w="5669"/>
      </w:tblGrid>
      <w:tr w:rsidR="00002907" w14:paraId="7FAB152A" w14:textId="77777777">
        <w:trPr>
          <w:tblHeader/>
          <w:jc w:val="center"/>
        </w:trPr>
        <w:tc>
          <w:tcPr>
            <w:tcW w:w="3402" w:type="dxa"/>
            <w:tcBorders>
              <w:top w:val="single" w:sz="6" w:space="0" w:color="FFFFFF"/>
              <w:left w:val="single" w:sz="6" w:space="0" w:color="FFFFFF"/>
              <w:bottom w:val="single" w:sz="6" w:space="0" w:color="FFFFFF"/>
              <w:right w:val="single" w:sz="6" w:space="0" w:color="FFFFFF"/>
            </w:tcBorders>
            <w:shd w:val="clear" w:color="auto" w:fill="1F4E79"/>
            <w:tcMar>
              <w:top w:w="100" w:type="dxa"/>
              <w:left w:w="100" w:type="dxa"/>
              <w:bottom w:w="100" w:type="dxa"/>
              <w:right w:w="100" w:type="dxa"/>
            </w:tcMar>
            <w:vAlign w:val="center"/>
          </w:tcPr>
          <w:p w14:paraId="7E1DE3C3" w14:textId="77777777" w:rsidR="00002907" w:rsidRDefault="00000000">
            <w:pPr>
              <w:spacing w:after="0"/>
              <w:jc w:val="center"/>
            </w:pPr>
            <w:r>
              <w:rPr>
                <w:b/>
                <w:color w:val="FFFFFF"/>
                <w:sz w:val="16"/>
              </w:rPr>
              <w:t>Critère</w:t>
            </w:r>
          </w:p>
        </w:tc>
        <w:tc>
          <w:tcPr>
            <w:tcW w:w="964" w:type="dxa"/>
            <w:tcBorders>
              <w:top w:val="single" w:sz="6" w:space="0" w:color="FFFFFF"/>
              <w:left w:val="single" w:sz="6" w:space="0" w:color="FFFFFF"/>
              <w:bottom w:val="single" w:sz="6" w:space="0" w:color="FFFFFF"/>
              <w:right w:val="single" w:sz="6" w:space="0" w:color="FFFFFF"/>
            </w:tcBorders>
            <w:shd w:val="clear" w:color="auto" w:fill="1F4E79"/>
            <w:tcMar>
              <w:top w:w="100" w:type="dxa"/>
              <w:left w:w="100" w:type="dxa"/>
              <w:bottom w:w="100" w:type="dxa"/>
              <w:right w:w="100" w:type="dxa"/>
            </w:tcMar>
            <w:vAlign w:val="center"/>
          </w:tcPr>
          <w:p w14:paraId="5BB7A314" w14:textId="77777777" w:rsidR="00002907" w:rsidRDefault="00000000">
            <w:pPr>
              <w:spacing w:after="0"/>
              <w:jc w:val="center"/>
            </w:pPr>
            <w:r>
              <w:rPr>
                <w:b/>
                <w:color w:val="FFFFFF"/>
                <w:sz w:val="16"/>
              </w:rPr>
              <w:t>Poids</w:t>
            </w:r>
          </w:p>
        </w:tc>
        <w:tc>
          <w:tcPr>
            <w:tcW w:w="5669" w:type="dxa"/>
            <w:tcBorders>
              <w:top w:val="single" w:sz="6" w:space="0" w:color="FFFFFF"/>
              <w:left w:val="single" w:sz="6" w:space="0" w:color="FFFFFF"/>
              <w:bottom w:val="single" w:sz="6" w:space="0" w:color="FFFFFF"/>
              <w:right w:val="single" w:sz="6" w:space="0" w:color="FFFFFF"/>
            </w:tcBorders>
            <w:shd w:val="clear" w:color="auto" w:fill="1F4E79"/>
            <w:tcMar>
              <w:top w:w="100" w:type="dxa"/>
              <w:left w:w="100" w:type="dxa"/>
              <w:bottom w:w="100" w:type="dxa"/>
              <w:right w:w="100" w:type="dxa"/>
            </w:tcMar>
            <w:vAlign w:val="center"/>
          </w:tcPr>
          <w:p w14:paraId="2EF81E31" w14:textId="77777777" w:rsidR="00002907" w:rsidRDefault="00000000">
            <w:pPr>
              <w:spacing w:after="0"/>
              <w:jc w:val="center"/>
            </w:pPr>
            <w:r>
              <w:rPr>
                <w:b/>
                <w:color w:val="FFFFFF"/>
                <w:sz w:val="16"/>
              </w:rPr>
              <w:t>Sous-critères / points sur 100</w:t>
            </w:r>
          </w:p>
        </w:tc>
      </w:tr>
      <w:tr w:rsidR="00002907" w14:paraId="6B903E4D" w14:textId="77777777">
        <w:trPr>
          <w:cantSplit/>
          <w:jc w:val="center"/>
        </w:trPr>
        <w:tc>
          <w:tcPr>
            <w:tcW w:w="3402"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6157E484" w14:textId="77777777" w:rsidR="00002907" w:rsidRDefault="00000000">
            <w:pPr>
              <w:spacing w:after="0"/>
              <w:jc w:val="center"/>
            </w:pPr>
            <w:r>
              <w:rPr>
                <w:sz w:val="16"/>
              </w:rPr>
              <w:t>1. Valeur technique, qualité architecturale et maîtrise des risques</w:t>
            </w:r>
          </w:p>
        </w:tc>
        <w:tc>
          <w:tcPr>
            <w:tcW w:w="964"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03E68A54" w14:textId="77777777" w:rsidR="00002907" w:rsidRDefault="00000000">
            <w:pPr>
              <w:spacing w:after="0"/>
            </w:pPr>
            <w:r>
              <w:rPr>
                <w:sz w:val="16"/>
              </w:rPr>
              <w:t>45 %</w:t>
            </w:r>
          </w:p>
        </w:tc>
        <w:tc>
          <w:tcPr>
            <w:tcW w:w="5669"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3E555AFC" w14:textId="77777777" w:rsidR="00002907" w:rsidRDefault="00000000">
            <w:pPr>
              <w:spacing w:after="0"/>
            </w:pPr>
            <w:r>
              <w:rPr>
                <w:sz w:val="16"/>
              </w:rPr>
              <w:t>Méthodologie désamiantage et sécurité : 8 ; couverture, structure et étanchéité : 10 ; solution photovoltaïque et raccordement : 12 ; exploitation-maintenance et transfert : 8 ; organisation, interfaces et continuité d’activité : 7</w:t>
            </w:r>
          </w:p>
        </w:tc>
      </w:tr>
      <w:tr w:rsidR="00002907" w14:paraId="5C42F72C" w14:textId="77777777">
        <w:trPr>
          <w:cantSplit/>
          <w:jc w:val="center"/>
        </w:trPr>
        <w:tc>
          <w:tcPr>
            <w:tcW w:w="3402"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17B2F820" w14:textId="77777777" w:rsidR="00002907" w:rsidRDefault="00000000">
            <w:pPr>
              <w:spacing w:after="0"/>
              <w:jc w:val="center"/>
            </w:pPr>
            <w:r>
              <w:rPr>
                <w:sz w:val="16"/>
              </w:rPr>
              <w:t>2. Robustesse économique, financière, contractuelle et garanties</w:t>
            </w:r>
          </w:p>
        </w:tc>
        <w:tc>
          <w:tcPr>
            <w:tcW w:w="964"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47E5A9AF" w14:textId="77777777" w:rsidR="00002907" w:rsidRDefault="00000000">
            <w:pPr>
              <w:spacing w:after="0"/>
            </w:pPr>
            <w:r>
              <w:rPr>
                <w:sz w:val="16"/>
              </w:rPr>
              <w:t>25 %</w:t>
            </w:r>
          </w:p>
        </w:tc>
        <w:tc>
          <w:tcPr>
            <w:tcW w:w="5669"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50AB720B" w14:textId="77777777" w:rsidR="00002907" w:rsidRDefault="00000000">
            <w:pPr>
              <w:spacing w:after="0"/>
            </w:pPr>
            <w:r>
              <w:rPr>
                <w:sz w:val="16"/>
              </w:rPr>
              <w:t>Cohérence du plan d’affaires : 8 ; sécurisation du financement : 6 ; répartition des risques et absence de coût pour la Commune : 5 ; garanties de bonne fin, de défaillance et de remise : 6</w:t>
            </w:r>
          </w:p>
        </w:tc>
      </w:tr>
      <w:tr w:rsidR="00002907" w14:paraId="30A0103E" w14:textId="77777777">
        <w:trPr>
          <w:cantSplit/>
          <w:jc w:val="center"/>
        </w:trPr>
        <w:tc>
          <w:tcPr>
            <w:tcW w:w="3402"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10113166" w14:textId="77777777" w:rsidR="00002907" w:rsidRDefault="00000000">
            <w:pPr>
              <w:spacing w:after="0"/>
              <w:jc w:val="center"/>
            </w:pPr>
            <w:r>
              <w:rPr>
                <w:sz w:val="16"/>
              </w:rPr>
              <w:t>3. Performance énergétique et environnementale</w:t>
            </w:r>
          </w:p>
        </w:tc>
        <w:tc>
          <w:tcPr>
            <w:tcW w:w="964"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7EA0C46F" w14:textId="77777777" w:rsidR="00002907" w:rsidRDefault="00000000">
            <w:pPr>
              <w:spacing w:after="0"/>
            </w:pPr>
            <w:r>
              <w:rPr>
                <w:sz w:val="16"/>
              </w:rPr>
              <w:t>20 %</w:t>
            </w:r>
          </w:p>
        </w:tc>
        <w:tc>
          <w:tcPr>
            <w:tcW w:w="5669" w:type="dxa"/>
            <w:tcBorders>
              <w:top w:val="single" w:sz="3" w:space="0" w:color="BFBFBF"/>
              <w:left w:val="single" w:sz="3" w:space="0" w:color="BFBFBF"/>
              <w:bottom w:val="single" w:sz="3" w:space="0" w:color="BFBFBF"/>
              <w:right w:val="single" w:sz="3" w:space="0" w:color="BFBFBF"/>
            </w:tcBorders>
            <w:tcMar>
              <w:top w:w="90" w:type="dxa"/>
              <w:left w:w="100" w:type="dxa"/>
              <w:bottom w:w="90" w:type="dxa"/>
              <w:right w:w="100" w:type="dxa"/>
            </w:tcMar>
            <w:vAlign w:val="center"/>
          </w:tcPr>
          <w:p w14:paraId="789CC0DE" w14:textId="77777777" w:rsidR="00002907" w:rsidRDefault="00000000">
            <w:pPr>
              <w:spacing w:after="0"/>
            </w:pPr>
            <w:r>
              <w:rPr>
                <w:sz w:val="16"/>
              </w:rPr>
              <w:t>Puissance et productible justifiés : 7 ; performance, disponibilité et garanties : 5 ; empreinte carbone, durabilité et recyclabilité : 4 ; gestion des déchets, nuisances et cycle de vie : 4</w:t>
            </w:r>
          </w:p>
        </w:tc>
      </w:tr>
      <w:tr w:rsidR="00002907" w14:paraId="1FF82AF8" w14:textId="77777777">
        <w:trPr>
          <w:cantSplit/>
          <w:jc w:val="center"/>
        </w:trPr>
        <w:tc>
          <w:tcPr>
            <w:tcW w:w="3402"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079BDD4A" w14:textId="77777777" w:rsidR="00002907" w:rsidRDefault="00000000">
            <w:pPr>
              <w:spacing w:after="0"/>
              <w:jc w:val="center"/>
            </w:pPr>
            <w:r>
              <w:rPr>
                <w:sz w:val="16"/>
              </w:rPr>
              <w:t>4. Planning, organisation et engagement PME / tiers</w:t>
            </w:r>
          </w:p>
        </w:tc>
        <w:tc>
          <w:tcPr>
            <w:tcW w:w="964"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01850D4B" w14:textId="77777777" w:rsidR="00002907" w:rsidRDefault="00000000">
            <w:pPr>
              <w:spacing w:after="0"/>
            </w:pPr>
            <w:r>
              <w:rPr>
                <w:sz w:val="16"/>
              </w:rPr>
              <w:t>10 %</w:t>
            </w:r>
          </w:p>
        </w:tc>
        <w:tc>
          <w:tcPr>
            <w:tcW w:w="5669" w:type="dxa"/>
            <w:tcBorders>
              <w:top w:val="single" w:sz="3" w:space="0" w:color="BFBFBF"/>
              <w:left w:val="single" w:sz="3" w:space="0" w:color="BFBFBF"/>
              <w:bottom w:val="single" w:sz="3" w:space="0" w:color="BFBFBF"/>
              <w:right w:val="single" w:sz="3" w:space="0" w:color="BFBFBF"/>
            </w:tcBorders>
            <w:shd w:val="clear" w:color="auto" w:fill="EEF5FA"/>
            <w:tcMar>
              <w:top w:w="90" w:type="dxa"/>
              <w:left w:w="100" w:type="dxa"/>
              <w:bottom w:w="90" w:type="dxa"/>
              <w:right w:w="100" w:type="dxa"/>
            </w:tcMar>
            <w:vAlign w:val="center"/>
          </w:tcPr>
          <w:p w14:paraId="685BAC91" w14:textId="77777777" w:rsidR="00002907" w:rsidRDefault="00000000">
            <w:pPr>
              <w:spacing w:after="0"/>
            </w:pPr>
            <w:r>
              <w:rPr>
                <w:sz w:val="16"/>
              </w:rPr>
              <w:t>Réalisme du calendrier : 4 ; moyens humains et gouvernance : 3 ; part et qualité des prestations confiées aux PME ou tiers : 3</w:t>
            </w:r>
          </w:p>
        </w:tc>
      </w:tr>
    </w:tbl>
    <w:p w14:paraId="0E952771" w14:textId="77777777" w:rsidR="00002907" w:rsidRDefault="00002907">
      <w:pPr>
        <w:spacing w:after="0"/>
      </w:pPr>
    </w:p>
    <w:p w14:paraId="0B16C823" w14:textId="77777777" w:rsidR="00002907" w:rsidRDefault="00000000">
      <w:pPr>
        <w:pStyle w:val="Titre2"/>
      </w:pPr>
      <w:r>
        <w:t>10.3 – Méthode de notation</w:t>
      </w:r>
    </w:p>
    <w:p w14:paraId="04088F08" w14:textId="77777777" w:rsidR="00002907" w:rsidRDefault="00000000">
      <w:pPr>
        <w:jc w:val="both"/>
      </w:pPr>
      <w:r>
        <w:t>Chaque sous-critère est noté selon une échelle de 0 à 5 : 0 – absent ou non conforme ; 1 – très insuffisant ; 2 – insuffisant ; 3 – satisfaisant ; 4 – bon ; 5 – excellent et assorti d’engagements vérifiables. La note est ramenée au nombre de points du sous-critère, puis pondérée. Les données quantitatives peuvent faire l’objet de vérifications, de simulations ou de contrôles de cohérence.</w:t>
      </w:r>
    </w:p>
    <w:p w14:paraId="5763CEBE" w14:textId="77777777" w:rsidR="00002907" w:rsidRDefault="00000000">
      <w:pPr>
        <w:pStyle w:val="Titre2"/>
      </w:pPr>
      <w:r>
        <w:t>10.4 – Seuils d’élimination</w:t>
      </w:r>
    </w:p>
    <w:p w14:paraId="2AFF28A4" w14:textId="77777777" w:rsidR="00002907" w:rsidRDefault="00000000">
      <w:pPr>
        <w:pStyle w:val="Listepuces"/>
        <w:spacing w:after="40"/>
        <w:ind w:left="283" w:hanging="113"/>
        <w:jc w:val="both"/>
      </w:pPr>
      <w:r>
        <w:t>note inférieure à 22,5/45 au critère 1 ;</w:t>
      </w:r>
    </w:p>
    <w:p w14:paraId="19C6D859" w14:textId="77777777" w:rsidR="00002907" w:rsidRDefault="00000000">
      <w:pPr>
        <w:pStyle w:val="Listepuces"/>
        <w:spacing w:after="40"/>
        <w:ind w:left="283" w:hanging="113"/>
        <w:jc w:val="both"/>
      </w:pPr>
      <w:r>
        <w:t>note inférieure à 12,5/25 au critère 2 ;</w:t>
      </w:r>
    </w:p>
    <w:p w14:paraId="7C668DB8" w14:textId="77777777" w:rsidR="00002907" w:rsidRDefault="00000000">
      <w:pPr>
        <w:pStyle w:val="Listepuces"/>
        <w:spacing w:after="40"/>
        <w:ind w:left="283" w:hanging="113"/>
        <w:jc w:val="both"/>
      </w:pPr>
      <w:r>
        <w:t>non-respect d’une exigence minimale ;</w:t>
      </w:r>
    </w:p>
    <w:p w14:paraId="0557BF50" w14:textId="77777777" w:rsidR="00002907" w:rsidRDefault="00000000">
      <w:pPr>
        <w:pStyle w:val="Listepuces"/>
        <w:spacing w:after="40"/>
        <w:ind w:left="283" w:hanging="113"/>
        <w:jc w:val="both"/>
      </w:pPr>
      <w:r>
        <w:t>plan de financement manifestement non sécurisé ou hypothèses de recettes manifestement irréalistes ;</w:t>
      </w:r>
    </w:p>
    <w:p w14:paraId="12531018" w14:textId="77777777" w:rsidR="00002907" w:rsidRDefault="00000000">
      <w:pPr>
        <w:pStyle w:val="Listepuces"/>
        <w:spacing w:after="40"/>
        <w:ind w:left="283" w:hanging="113"/>
        <w:jc w:val="both"/>
      </w:pPr>
      <w:r>
        <w:t>offre ne démontrant pas la faisabilité du désamiantage, de la mise hors d’eau ou du raccordement.</w:t>
      </w:r>
    </w:p>
    <w:p w14:paraId="179D2CC2" w14:textId="77777777" w:rsidR="00002907" w:rsidRDefault="00000000">
      <w:pPr>
        <w:pStyle w:val="Titre2"/>
      </w:pPr>
      <w:r>
        <w:t>10.5 – Auditions et négociation</w:t>
      </w:r>
    </w:p>
    <w:p w14:paraId="03CABF42" w14:textId="77777777" w:rsidR="00002907" w:rsidRDefault="00000000">
      <w:pPr>
        <w:jc w:val="both"/>
      </w:pPr>
      <w:r>
        <w:t>La Commune peut auditionner tous les soumissionnaires admis ou, lorsque leur nombre le justifie, les trois mieux classés après analyse initiale, à condition de maintenir une concurrence suffisante. Les auditions peuvent porter sur les éléments techniques, juridiques, financiers et calendaires. Une offre finale peut être demandée. La Commune peut également attribuer sans négociation.</w:t>
      </w:r>
    </w:p>
    <w:p w14:paraId="141803F9" w14:textId="77777777" w:rsidR="00002907" w:rsidRDefault="00000000">
      <w:pPr>
        <w:pStyle w:val="Titre2"/>
      </w:pPr>
      <w:r>
        <w:t>10.6 – Offres irrégulières ou manifestement irréalistes</w:t>
      </w:r>
    </w:p>
    <w:p w14:paraId="785D1563" w14:textId="77777777" w:rsidR="00002907" w:rsidRDefault="00000000">
      <w:pPr>
        <w:jc w:val="both"/>
      </w:pPr>
      <w:r>
        <w:t>La Commune peut permettre la régularisation d’une offre dans les limites légales, sans modification substantielle ni avantage indu. Une offre dont l’équilibre économique apparaît insuffisant pour assurer l’exécution peut faire l’objet d’une demande de justification et être écartée si les réponses ne permettent pas d’établir sa viabilité.</w:t>
      </w:r>
    </w:p>
    <w:p w14:paraId="260A5E11" w14:textId="77777777" w:rsidR="00002907" w:rsidRDefault="00000000">
      <w:pPr>
        <w:pStyle w:val="LegalArticle"/>
      </w:pPr>
      <w:r>
        <w:t>Article 11 – Attribution, mise au point et signature</w:t>
      </w:r>
    </w:p>
    <w:p w14:paraId="76C7899D" w14:textId="77777777" w:rsidR="00002907" w:rsidRDefault="00000000">
      <w:pPr>
        <w:pStyle w:val="Titre2"/>
      </w:pPr>
      <w:r>
        <w:t>11.1 – Avis de la commission et décision</w:t>
      </w:r>
    </w:p>
    <w:p w14:paraId="5FF74B43" w14:textId="77777777" w:rsidR="00002907" w:rsidRDefault="00000000">
      <w:pPr>
        <w:jc w:val="both"/>
      </w:pPr>
      <w:r>
        <w:t>Les candidatures et offres sont soumises à la commission compétente prévue par le Code général des collectivités territoriales. Au vu de son avis et des négociations, l’autorité habilitée saisit le conseil municipal du choix de l’opérateur et de l’économie générale du contrat. L’attribution définitive résulte de la délibération et de la signature des pièces contractuelles.</w:t>
      </w:r>
    </w:p>
    <w:p w14:paraId="2D0F33AA" w14:textId="77777777" w:rsidR="00002907" w:rsidRDefault="00000000">
      <w:pPr>
        <w:pStyle w:val="Titre2"/>
      </w:pPr>
      <w:r>
        <w:t>11.2 – Justificatifs de l’attributaire pressenti</w:t>
      </w:r>
    </w:p>
    <w:p w14:paraId="3B3DD0EF" w14:textId="77777777" w:rsidR="00002907" w:rsidRDefault="00000000">
      <w:pPr>
        <w:pStyle w:val="Listepuces"/>
        <w:spacing w:after="40"/>
        <w:ind w:left="283" w:hanging="113"/>
        <w:jc w:val="both"/>
      </w:pPr>
      <w:r>
        <w:t>certificats fiscaux et sociaux à jour ;</w:t>
      </w:r>
    </w:p>
    <w:p w14:paraId="4D8521F0" w14:textId="77777777" w:rsidR="00002907" w:rsidRDefault="00000000">
      <w:pPr>
        <w:pStyle w:val="Listepuces"/>
        <w:spacing w:after="40"/>
        <w:ind w:left="283" w:hanging="113"/>
        <w:jc w:val="both"/>
      </w:pPr>
      <w:r>
        <w:t>attestations d’assurance définitives ;</w:t>
      </w:r>
    </w:p>
    <w:p w14:paraId="0773C81C" w14:textId="77777777" w:rsidR="00002907" w:rsidRDefault="00000000">
      <w:pPr>
        <w:pStyle w:val="Listepuces"/>
        <w:spacing w:after="40"/>
        <w:ind w:left="283" w:hanging="113"/>
        <w:jc w:val="both"/>
      </w:pPr>
      <w:r>
        <w:lastRenderedPageBreak/>
        <w:t>extraits d’immatriculation et pouvoirs ;</w:t>
      </w:r>
    </w:p>
    <w:p w14:paraId="7FD09E6E" w14:textId="77777777" w:rsidR="00002907" w:rsidRDefault="00000000">
      <w:pPr>
        <w:pStyle w:val="Listepuces"/>
        <w:spacing w:after="40"/>
        <w:ind w:left="283" w:hanging="113"/>
        <w:jc w:val="both"/>
      </w:pPr>
      <w:r>
        <w:t>garanties bancaires, lettres fermes de financement et garanties des sociétés mères prévues à l’offre ;</w:t>
      </w:r>
    </w:p>
    <w:p w14:paraId="015ACE03" w14:textId="77777777" w:rsidR="00002907" w:rsidRDefault="00000000">
      <w:pPr>
        <w:pStyle w:val="Listepuces"/>
        <w:spacing w:after="40"/>
        <w:ind w:left="283" w:hanging="113"/>
        <w:jc w:val="both"/>
      </w:pPr>
      <w:r>
        <w:t>certifications des entreprises de désamiantage et qualifications annoncées ;</w:t>
      </w:r>
    </w:p>
    <w:p w14:paraId="139DF9DF" w14:textId="77777777" w:rsidR="00002907" w:rsidRDefault="00000000">
      <w:pPr>
        <w:pStyle w:val="Listepuces"/>
        <w:spacing w:after="40"/>
        <w:ind w:left="283" w:hanging="113"/>
        <w:jc w:val="both"/>
      </w:pPr>
      <w:r>
        <w:t>identité des bénéficiaires effectifs et éléments nécessaires aux contrôles de probité.</w:t>
      </w:r>
    </w:p>
    <w:p w14:paraId="2E879D02" w14:textId="77777777" w:rsidR="00002907" w:rsidRDefault="00000000">
      <w:pPr>
        <w:pStyle w:val="Titre2"/>
      </w:pPr>
      <w:r>
        <w:t>11.3 – Mise au point</w:t>
      </w:r>
    </w:p>
    <w:p w14:paraId="239F0F29" w14:textId="77777777" w:rsidR="00002907" w:rsidRDefault="00000000">
      <w:pPr>
        <w:jc w:val="both"/>
      </w:pPr>
      <w:r>
        <w:t>La mise au point ne peut modifier les caractéristiques substantielles de l’offre ni les critères. Elle permet de consolider les engagements négociés, la DPGF, le modèle économique, le planning, les garanties et le projet de bail. En cas d’impossibilité de conclure avec l’attributaire pressenti dans le délai fixé, la Commune peut mettre fin à l’attribution et poursuivre avec le soumissionnaire suivant, sous réserve des décisions nécessaires.</w:t>
      </w:r>
    </w:p>
    <w:p w14:paraId="28156748" w14:textId="77777777" w:rsidR="00002907" w:rsidRDefault="00000000">
      <w:pPr>
        <w:pStyle w:val="Titre2"/>
      </w:pPr>
      <w:r>
        <w:t>11.4 – Conditions préalables</w:t>
      </w:r>
    </w:p>
    <w:p w14:paraId="58280D02" w14:textId="77777777" w:rsidR="00002907" w:rsidRDefault="00000000">
      <w:pPr>
        <w:jc w:val="both"/>
      </w:pPr>
      <w:r>
        <w:t>La signature et la prise d’effet sont subordonnées notamment à la délibération du conseil municipal, à la validation de la qualification domaniale, à la finalisation du titre d’occupation par l’office notarial, à la constitution des garanties et à la remise des pièces exigées.</w:t>
      </w:r>
    </w:p>
    <w:p w14:paraId="1387F1BD" w14:textId="77777777" w:rsidR="00002907" w:rsidRDefault="00000000">
      <w:pPr>
        <w:pStyle w:val="LegalArticle"/>
      </w:pPr>
      <w:r>
        <w:t>Article 12 – Confidentialité, recours et renseignements</w:t>
      </w:r>
    </w:p>
    <w:p w14:paraId="61519FF2" w14:textId="77777777" w:rsidR="00002907" w:rsidRDefault="00000000">
      <w:pPr>
        <w:pStyle w:val="Titre2"/>
      </w:pPr>
      <w:r>
        <w:t>12.1 – Confidentialité</w:t>
      </w:r>
    </w:p>
    <w:p w14:paraId="13720146" w14:textId="77777777" w:rsidR="00002907" w:rsidRDefault="00000000">
      <w:pPr>
        <w:jc w:val="both"/>
      </w:pPr>
      <w:r>
        <w:t>Les candidats identifient les informations couvertes par le secret des affaires et justifient cette qualification. La Commune respecte les obligations de confidentialité et de communication des documents administratifs. Les documents remis ne donnent lieu à aucune indemnité.</w:t>
      </w:r>
    </w:p>
    <w:p w14:paraId="17A7A5A9" w14:textId="77777777" w:rsidR="00002907" w:rsidRDefault="00000000">
      <w:pPr>
        <w:pStyle w:val="Titre2"/>
      </w:pPr>
      <w:r>
        <w:t>12.2 – Renseignements</w:t>
      </w:r>
    </w:p>
    <w:p w14:paraId="158B05F6" w14:textId="77777777" w:rsidR="00002907" w:rsidRDefault="00000000">
      <w:pPr>
        <w:jc w:val="both"/>
      </w:pPr>
      <w:r>
        <w:t>Point de contact unique : profil d’acheteur https://alsacemarchespublics.eu. Les questions sont anonymisées avant diffusion de la réponse commune.</w:t>
      </w:r>
    </w:p>
    <w:p w14:paraId="11705F60" w14:textId="77777777" w:rsidR="00002907" w:rsidRDefault="00000000">
      <w:pPr>
        <w:pStyle w:val="Titre2"/>
      </w:pPr>
      <w:r>
        <w:t>12.3 – Recours</w:t>
      </w:r>
    </w:p>
    <w:p w14:paraId="1F079169" w14:textId="77777777" w:rsidR="00002907" w:rsidRDefault="00000000">
      <w:pPr>
        <w:jc w:val="both"/>
      </w:pPr>
      <w:r>
        <w:t>Le tribunal administratif de Strasbourg est compétent. Les voies de recours comprennent notamment le référé précontractuel avant signature, le référé contractuel et le recours en contestation de la validité du contrat dans les conditions et délais prévus par le Code de justice administrative.</w:t>
      </w:r>
    </w:p>
    <w:p w14:paraId="00623114" w14:textId="77777777" w:rsidR="00002907" w:rsidRDefault="00000000">
      <w:pPr>
        <w:jc w:val="right"/>
      </w:pPr>
      <w:r>
        <w:t>Fait à Reichstett, le [À COMPLÉTER]</w:t>
      </w:r>
      <w:r>
        <w:br/>
        <w:t>Le Maire, Georges SCHULER</w:t>
      </w:r>
    </w:p>
    <w:sectPr w:rsidR="00002907" w:rsidSect="00034616">
      <w:headerReference w:type="default" r:id="rId9"/>
      <w:footerReference w:type="default" r:id="rId10"/>
      <w:pgSz w:w="11906" w:h="16838"/>
      <w:pgMar w:top="765" w:right="822" w:bottom="879" w:left="822" w:header="255"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8C416" w14:textId="77777777" w:rsidR="002206F3" w:rsidRDefault="002206F3">
      <w:pPr>
        <w:spacing w:after="0" w:line="240" w:lineRule="auto"/>
      </w:pPr>
      <w:r>
        <w:separator/>
      </w:r>
    </w:p>
  </w:endnote>
  <w:endnote w:type="continuationSeparator" w:id="0">
    <w:p w14:paraId="016B4D24" w14:textId="77777777" w:rsidR="002206F3" w:rsidRDefault="00220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ook w:val="04A0" w:firstRow="1" w:lastRow="0" w:firstColumn="1" w:lastColumn="0" w:noHBand="0" w:noVBand="1"/>
    </w:tblPr>
    <w:tblGrid>
      <w:gridCol w:w="8220"/>
      <w:gridCol w:w="1984"/>
    </w:tblGrid>
    <w:tr w:rsidR="00002907" w14:paraId="23AE4B3B" w14:textId="77777777">
      <w:trPr>
        <w:jc w:val="center"/>
      </w:trPr>
      <w:tc>
        <w:tcPr>
          <w:tcW w:w="8220" w:type="dxa"/>
          <w:tcMar>
            <w:top w:w="0" w:type="dxa"/>
            <w:left w:w="20" w:type="dxa"/>
            <w:bottom w:w="0" w:type="dxa"/>
            <w:right w:w="20" w:type="dxa"/>
          </w:tcMar>
        </w:tcPr>
        <w:p w14:paraId="32DD6FF8" w14:textId="77777777" w:rsidR="00002907" w:rsidRDefault="00000000">
          <w:pPr>
            <w:spacing w:after="0"/>
          </w:pPr>
          <w:r>
            <w:rPr>
              <w:color w:val="404040"/>
              <w:sz w:val="13"/>
            </w:rPr>
            <w:t xml:space="preserve">Mairie de REICHSTETT – 24 rue de la </w:t>
          </w:r>
          <w:proofErr w:type="spellStart"/>
          <w:r>
            <w:rPr>
              <w:color w:val="404040"/>
              <w:sz w:val="13"/>
            </w:rPr>
            <w:t>Wantzenau</w:t>
          </w:r>
          <w:proofErr w:type="spellEnd"/>
          <w:r>
            <w:rPr>
              <w:color w:val="404040"/>
              <w:sz w:val="13"/>
            </w:rPr>
            <w:t xml:space="preserve"> – 67116 Reichstett – </w:t>
          </w:r>
          <w:proofErr w:type="spellStart"/>
          <w:r>
            <w:rPr>
              <w:color w:val="404040"/>
              <w:sz w:val="13"/>
            </w:rPr>
            <w:t>Tél</w:t>
          </w:r>
          <w:proofErr w:type="spellEnd"/>
          <w:proofErr w:type="gramStart"/>
          <w:r>
            <w:rPr>
              <w:color w:val="404040"/>
              <w:sz w:val="13"/>
            </w:rPr>
            <w:t>. :</w:t>
          </w:r>
          <w:proofErr w:type="gramEnd"/>
          <w:r>
            <w:rPr>
              <w:color w:val="404040"/>
              <w:sz w:val="13"/>
            </w:rPr>
            <w:t xml:space="preserve"> 03 88 20 02 26 – mairie@reichstett.fr</w:t>
          </w:r>
        </w:p>
      </w:tc>
      <w:tc>
        <w:tcPr>
          <w:tcW w:w="1984" w:type="dxa"/>
          <w:tcMar>
            <w:top w:w="0" w:type="dxa"/>
            <w:left w:w="20" w:type="dxa"/>
            <w:bottom w:w="0" w:type="dxa"/>
            <w:right w:w="20" w:type="dxa"/>
          </w:tcMar>
        </w:tcPr>
        <w:p w14:paraId="741D50B6" w14:textId="77777777" w:rsidR="00002907" w:rsidRDefault="00000000">
          <w:pPr>
            <w:jc w:val="right"/>
          </w:pPr>
          <w:r>
            <w:rPr>
              <w:color w:val="404040"/>
              <w:sz w:val="13"/>
            </w:rPr>
            <w:t>CONCESSION N° 2026-PV-01</w:t>
          </w:r>
        </w:p>
      </w:tc>
    </w:tr>
    <w:tr w:rsidR="00002907" w14:paraId="3FC3073C" w14:textId="77777777">
      <w:trPr>
        <w:jc w:val="center"/>
      </w:trPr>
      <w:tc>
        <w:tcPr>
          <w:tcW w:w="8220" w:type="dxa"/>
          <w:tcMar>
            <w:top w:w="0" w:type="dxa"/>
            <w:left w:w="20" w:type="dxa"/>
            <w:bottom w:w="0" w:type="dxa"/>
            <w:right w:w="20" w:type="dxa"/>
          </w:tcMar>
        </w:tcPr>
        <w:p w14:paraId="7088ECAC" w14:textId="77777777" w:rsidR="00002907" w:rsidRDefault="00000000">
          <w:pPr>
            <w:spacing w:after="0"/>
          </w:pPr>
          <w:r>
            <w:rPr>
              <w:color w:val="404040"/>
              <w:sz w:val="13"/>
            </w:rPr>
            <w:t xml:space="preserve">Concession de travaux – </w:t>
          </w:r>
          <w:proofErr w:type="spellStart"/>
          <w:r>
            <w:rPr>
              <w:color w:val="404040"/>
              <w:sz w:val="13"/>
            </w:rPr>
            <w:t>Toiture</w:t>
          </w:r>
          <w:proofErr w:type="spellEnd"/>
          <w:r>
            <w:rPr>
              <w:color w:val="404040"/>
              <w:sz w:val="13"/>
            </w:rPr>
            <w:t xml:space="preserve"> </w:t>
          </w:r>
          <w:proofErr w:type="spellStart"/>
          <w:r>
            <w:rPr>
              <w:color w:val="404040"/>
              <w:sz w:val="13"/>
            </w:rPr>
            <w:t>photovoltaïque</w:t>
          </w:r>
          <w:proofErr w:type="spellEnd"/>
          <w:r>
            <w:rPr>
              <w:color w:val="404040"/>
              <w:sz w:val="13"/>
            </w:rPr>
            <w:t xml:space="preserve"> des ateliers </w:t>
          </w:r>
          <w:proofErr w:type="spellStart"/>
          <w:r>
            <w:rPr>
              <w:color w:val="404040"/>
              <w:sz w:val="13"/>
            </w:rPr>
            <w:t>municipaux</w:t>
          </w:r>
          <w:proofErr w:type="spellEnd"/>
        </w:p>
      </w:tc>
      <w:tc>
        <w:tcPr>
          <w:tcW w:w="1984" w:type="dxa"/>
          <w:tcMar>
            <w:top w:w="0" w:type="dxa"/>
            <w:left w:w="20" w:type="dxa"/>
            <w:bottom w:w="0" w:type="dxa"/>
            <w:right w:w="20" w:type="dxa"/>
          </w:tcMar>
        </w:tcPr>
        <w:p w14:paraId="4FEC854F" w14:textId="77777777" w:rsidR="00002907" w:rsidRDefault="00000000">
          <w:pPr>
            <w:spacing w:after="0"/>
            <w:jc w:val="right"/>
          </w:pPr>
          <w:r>
            <w:rPr>
              <w:sz w:val="14"/>
            </w:rPr>
            <w:t xml:space="preserve">Page </w:t>
          </w:r>
          <w:r>
            <w:rPr>
              <w:sz w:val="14"/>
            </w:rPr>
            <w:fldChar w:fldCharType="begin"/>
          </w:r>
          <w:r>
            <w:rPr>
              <w:sz w:val="14"/>
            </w:rPr>
            <w:instrText>PAGE</w:instrText>
          </w:r>
          <w:r>
            <w:rPr>
              <w:sz w:val="14"/>
            </w:rPr>
            <w:fldChar w:fldCharType="separate"/>
          </w:r>
          <w:r>
            <w:rPr>
              <w:sz w:val="14"/>
            </w:rPr>
            <w:t>1</w:t>
          </w:r>
          <w:r>
            <w:fldChar w:fldCharType="end"/>
          </w:r>
          <w:r>
            <w:rPr>
              <w:sz w:val="14"/>
            </w:rPr>
            <w:t xml:space="preserve"> / </w:t>
          </w:r>
          <w:r>
            <w:rPr>
              <w:sz w:val="14"/>
            </w:rPr>
            <w:fldChar w:fldCharType="begin"/>
          </w:r>
          <w:r>
            <w:rPr>
              <w:sz w:val="14"/>
            </w:rPr>
            <w:instrText>NUMPAGES</w:instrText>
          </w:r>
          <w:r>
            <w:rPr>
              <w:sz w:val="14"/>
            </w:rPr>
            <w:fldChar w:fldCharType="separate"/>
          </w:r>
          <w:r>
            <w:rPr>
              <w:sz w:val="14"/>
            </w:rPr>
            <w:t>1</w:t>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87729" w14:textId="77777777" w:rsidR="002206F3" w:rsidRDefault="002206F3">
      <w:pPr>
        <w:spacing w:after="0" w:line="240" w:lineRule="auto"/>
      </w:pPr>
      <w:r>
        <w:separator/>
      </w:r>
    </w:p>
  </w:footnote>
  <w:footnote w:type="continuationSeparator" w:id="0">
    <w:p w14:paraId="57FD86A9" w14:textId="77777777" w:rsidR="002206F3" w:rsidRDefault="002206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ook w:val="04A0" w:firstRow="1" w:lastRow="0" w:firstColumn="1" w:lastColumn="0" w:noHBand="0" w:noVBand="1"/>
    </w:tblPr>
    <w:tblGrid>
      <w:gridCol w:w="7654"/>
      <w:gridCol w:w="2551"/>
    </w:tblGrid>
    <w:tr w:rsidR="00002907" w14:paraId="3EFD3F99" w14:textId="77777777">
      <w:trPr>
        <w:jc w:val="center"/>
      </w:trPr>
      <w:tc>
        <w:tcPr>
          <w:tcW w:w="7654" w:type="dxa"/>
          <w:tcBorders>
            <w:bottom w:val="single" w:sz="6" w:space="0" w:color="5B9BD5"/>
          </w:tcBorders>
          <w:tcMar>
            <w:top w:w="0" w:type="dxa"/>
            <w:left w:w="20" w:type="dxa"/>
            <w:bottom w:w="50" w:type="dxa"/>
            <w:right w:w="20" w:type="dxa"/>
          </w:tcMar>
        </w:tcPr>
        <w:p w14:paraId="53C8DC61" w14:textId="77777777" w:rsidR="00002907" w:rsidRDefault="00000000">
          <w:pPr>
            <w:spacing w:after="0"/>
          </w:pPr>
          <w:r>
            <w:rPr>
              <w:color w:val="404040"/>
              <w:sz w:val="14"/>
            </w:rPr>
            <w:t xml:space="preserve">Concession de travaux – </w:t>
          </w:r>
          <w:proofErr w:type="spellStart"/>
          <w:r>
            <w:rPr>
              <w:color w:val="404040"/>
              <w:sz w:val="14"/>
            </w:rPr>
            <w:t>Toiture</w:t>
          </w:r>
          <w:proofErr w:type="spellEnd"/>
          <w:r>
            <w:rPr>
              <w:color w:val="404040"/>
              <w:sz w:val="14"/>
            </w:rPr>
            <w:t xml:space="preserve"> </w:t>
          </w:r>
          <w:proofErr w:type="spellStart"/>
          <w:r>
            <w:rPr>
              <w:color w:val="404040"/>
              <w:sz w:val="14"/>
            </w:rPr>
            <w:t>photovoltaïque</w:t>
          </w:r>
          <w:proofErr w:type="spellEnd"/>
          <w:r>
            <w:rPr>
              <w:color w:val="404040"/>
              <w:sz w:val="14"/>
            </w:rPr>
            <w:t xml:space="preserve"> des ateliers </w:t>
          </w:r>
          <w:proofErr w:type="spellStart"/>
          <w:r>
            <w:rPr>
              <w:color w:val="404040"/>
              <w:sz w:val="14"/>
            </w:rPr>
            <w:t>municipaux</w:t>
          </w:r>
          <w:proofErr w:type="spellEnd"/>
        </w:p>
      </w:tc>
      <w:tc>
        <w:tcPr>
          <w:tcW w:w="2551" w:type="dxa"/>
          <w:tcBorders>
            <w:bottom w:val="single" w:sz="6" w:space="0" w:color="5B9BD5"/>
          </w:tcBorders>
          <w:tcMar>
            <w:top w:w="0" w:type="dxa"/>
            <w:left w:w="20" w:type="dxa"/>
            <w:bottom w:w="50" w:type="dxa"/>
            <w:right w:w="20" w:type="dxa"/>
          </w:tcMar>
        </w:tcPr>
        <w:p w14:paraId="5BBB6421" w14:textId="77777777" w:rsidR="00002907" w:rsidRDefault="00000000">
          <w:pPr>
            <w:spacing w:after="0"/>
            <w:jc w:val="right"/>
          </w:pPr>
          <w:r>
            <w:rPr>
              <w:color w:val="404040"/>
              <w:sz w:val="14"/>
            </w:rPr>
            <w:t>RC</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num w:numId="1" w16cid:durableId="1702321243">
    <w:abstractNumId w:val="8"/>
  </w:num>
  <w:num w:numId="2" w16cid:durableId="237595206">
    <w:abstractNumId w:val="6"/>
  </w:num>
  <w:num w:numId="3" w16cid:durableId="1308440586">
    <w:abstractNumId w:val="5"/>
  </w:num>
  <w:num w:numId="4" w16cid:durableId="236671634">
    <w:abstractNumId w:val="4"/>
  </w:num>
  <w:num w:numId="5" w16cid:durableId="802381995">
    <w:abstractNumId w:val="7"/>
  </w:num>
  <w:num w:numId="6" w16cid:durableId="764695671">
    <w:abstractNumId w:val="3"/>
  </w:num>
  <w:num w:numId="7" w16cid:durableId="372510799">
    <w:abstractNumId w:val="2"/>
  </w:num>
  <w:num w:numId="8" w16cid:durableId="7104085">
    <w:abstractNumId w:val="1"/>
  </w:num>
  <w:num w:numId="9" w16cid:durableId="1446464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907"/>
    <w:rsid w:val="00034616"/>
    <w:rsid w:val="0006063C"/>
    <w:rsid w:val="0015074B"/>
    <w:rsid w:val="001F6A5D"/>
    <w:rsid w:val="002206F3"/>
    <w:rsid w:val="0029639D"/>
    <w:rsid w:val="00326F90"/>
    <w:rsid w:val="0044052D"/>
    <w:rsid w:val="00516744"/>
    <w:rsid w:val="008C0B29"/>
    <w:rsid w:val="009443E7"/>
    <w:rsid w:val="0097209D"/>
    <w:rsid w:val="00AA1D8D"/>
    <w:rsid w:val="00B47730"/>
    <w:rsid w:val="00CB0664"/>
    <w:rsid w:val="00CC3A7E"/>
    <w:rsid w:val="00F20DA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F95A77"/>
  <w14:defaultImageDpi w14:val="300"/>
  <w15:docId w15:val="{8DCE67B5-8552-49F9-A3C0-006380434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0" w:lineRule="auto"/>
    </w:pPr>
    <w:rPr>
      <w:rFonts w:ascii="Arial" w:eastAsia="Arial" w:hAnsi="Arial"/>
      <w:color w:val="000000"/>
      <w:sz w:val="19"/>
    </w:rPr>
  </w:style>
  <w:style w:type="paragraph" w:styleId="Titre1">
    <w:name w:val="heading 1"/>
    <w:basedOn w:val="Normal"/>
    <w:next w:val="Normal"/>
    <w:link w:val="Titre1Car"/>
    <w:uiPriority w:val="9"/>
    <w:qFormat/>
    <w:rsid w:val="00FC693F"/>
    <w:pPr>
      <w:keepNext/>
      <w:keepLines/>
      <w:spacing w:before="200"/>
      <w:outlineLvl w:val="0"/>
    </w:pPr>
    <w:rPr>
      <w:rFonts w:asciiTheme="majorHAnsi" w:eastAsiaTheme="majorEastAsia" w:hAnsiTheme="majorHAnsi" w:cstheme="majorBidi"/>
      <w:b/>
      <w:bCs/>
      <w:color w:val="1F4E79"/>
      <w:sz w:val="26"/>
      <w:szCs w:val="28"/>
    </w:rPr>
  </w:style>
  <w:style w:type="paragraph" w:styleId="Titre2">
    <w:name w:val="heading 2"/>
    <w:basedOn w:val="Normal"/>
    <w:next w:val="Normal"/>
    <w:link w:val="Titre2Car"/>
    <w:uiPriority w:val="9"/>
    <w:unhideWhenUsed/>
    <w:qFormat/>
    <w:rsid w:val="00FC693F"/>
    <w:pPr>
      <w:keepNext/>
      <w:keepLines/>
      <w:spacing w:before="140" w:after="60"/>
      <w:outlineLvl w:val="1"/>
    </w:pPr>
    <w:rPr>
      <w:rFonts w:asciiTheme="majorHAnsi" w:eastAsiaTheme="majorEastAsia" w:hAnsiTheme="majorHAnsi" w:cstheme="majorBidi"/>
      <w:b/>
      <w:bCs/>
      <w:color w:val="1F4E79"/>
      <w:sz w:val="22"/>
      <w:szCs w:val="26"/>
    </w:rPr>
  </w:style>
  <w:style w:type="paragraph" w:styleId="Titre3">
    <w:name w:val="heading 3"/>
    <w:basedOn w:val="Normal"/>
    <w:next w:val="Normal"/>
    <w:link w:val="Titre3Car"/>
    <w:uiPriority w:val="9"/>
    <w:unhideWhenUsed/>
    <w:qFormat/>
    <w:rsid w:val="00FC693F"/>
    <w:pPr>
      <w:keepNext/>
      <w:keepLines/>
      <w:spacing w:before="100" w:after="40"/>
      <w:outlineLvl w:val="2"/>
    </w:pPr>
    <w:rPr>
      <w:rFonts w:asciiTheme="majorHAnsi" w:eastAsiaTheme="majorEastAsia" w:hAnsiTheme="majorHAnsi" w:cstheme="majorBidi"/>
      <w:b/>
      <w:bCs/>
      <w:color w:val="404040"/>
      <w:sz w:val="20"/>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Article">
    <w:name w:val="Legal Article"/>
    <w:pPr>
      <w:keepNext/>
      <w:spacing w:before="160" w:after="60"/>
    </w:pPr>
    <w:rPr>
      <w:rFonts w:ascii="Arial" w:hAnsi="Arial"/>
      <w:b/>
      <w:color w:val="1F4E79"/>
      <w:sz w:val="21"/>
    </w:rPr>
  </w:style>
  <w:style w:type="paragraph" w:customStyle="1" w:styleId="Small">
    <w:name w:val="Small"/>
    <w:pPr>
      <w:spacing w:after="40"/>
    </w:pPr>
    <w:rPr>
      <w:rFonts w:ascii="Arial" w:hAnsi="Arial"/>
      <w:sz w:val="16"/>
    </w:rPr>
  </w:style>
  <w:style w:type="paragraph" w:customStyle="1" w:styleId="FormLabel">
    <w:name w:val="Form Label"/>
    <w:pPr>
      <w:spacing w:after="20"/>
    </w:pPr>
    <w:rPr>
      <w:rFonts w:ascii="Arial" w:hAnsi="Arial"/>
      <w:b/>
      <w:color w:val="404040"/>
      <w:sz w:val="18"/>
    </w:rPr>
  </w:style>
  <w:style w:type="paragraph" w:customStyle="1" w:styleId="CaptionCustom">
    <w:name w:val="Caption Custom"/>
    <w:pPr>
      <w:spacing w:before="60" w:after="80"/>
    </w:pPr>
    <w:rPr>
      <w:rFonts w:ascii="Arial" w:hAnsi="Arial"/>
      <w:i/>
      <w:color w:val="404040"/>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3705</Words>
  <Characters>20378</Characters>
  <Application>Microsoft Office Word</Application>
  <DocSecurity>0</DocSecurity>
  <Lines>169</Lines>
  <Paragraphs>48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02 Reglement de consultation Concession PV 2026</vt:lpstr>
      <vt:lpstr/>
    </vt:vector>
  </TitlesOfParts>
  <Manager/>
  <Company/>
  <LinksUpToDate>false</LinksUpToDate>
  <CharactersWithSpaces>24035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 Reglement de consultation Concession PV 2026</dc:title>
  <dc:subject>Conception, financement et réalisation du désamiantage et de la réfection de la toiture des ateliers municipaux, installation et exploitation d’une centrale photovoltaïque, puis transfert de l’installation à la Commune</dc:subject>
  <dc:creator>Commune de Reichstett</dc:creator>
  <cp:keywords>concession, photovoltaïque, désamiantage, couverture, commande publique</cp:keywords>
  <dc:description/>
  <cp:lastModifiedBy>Yann LARDIN</cp:lastModifiedBy>
  <cp:revision>7</cp:revision>
  <dcterms:created xsi:type="dcterms:W3CDTF">2026-10-12T10:05:00Z</dcterms:created>
  <dcterms:modified xsi:type="dcterms:W3CDTF">2026-10-13T09:32:00Z</dcterms:modified>
  <cp:category/>
</cp:coreProperties>
</file>